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3FD8B" w14:textId="77777777" w:rsidR="00766F60" w:rsidRPr="00D411AD" w:rsidRDefault="00766F60" w:rsidP="00766F60">
      <w:pPr>
        <w:jc w:val="center"/>
        <w:rPr>
          <w:b/>
          <w:bCs/>
          <w:sz w:val="36"/>
          <w:szCs w:val="36"/>
          <w:u w:val="single"/>
        </w:rPr>
      </w:pPr>
      <w:r w:rsidRPr="00D411AD">
        <w:rPr>
          <w:b/>
          <w:bCs/>
          <w:sz w:val="36"/>
          <w:szCs w:val="36"/>
          <w:u w:val="single"/>
        </w:rPr>
        <w:t>Často kladené dotazy</w:t>
      </w:r>
    </w:p>
    <w:p w14:paraId="2382B289" w14:textId="6E62B88D" w:rsidR="00766F60" w:rsidRPr="00797053" w:rsidRDefault="00766F60" w:rsidP="00766F60">
      <w:pPr>
        <w:jc w:val="center"/>
        <w:rPr>
          <w:sz w:val="36"/>
          <w:szCs w:val="36"/>
          <w:u w:val="single"/>
        </w:rPr>
      </w:pPr>
      <w:r w:rsidRPr="00797053">
        <w:rPr>
          <w:sz w:val="36"/>
          <w:szCs w:val="36"/>
          <w:u w:val="single"/>
        </w:rPr>
        <w:t xml:space="preserve">Výzva </w:t>
      </w:r>
      <w:r w:rsidR="00797053" w:rsidRPr="00797053">
        <w:rPr>
          <w:sz w:val="36"/>
          <w:szCs w:val="36"/>
          <w:u w:val="single"/>
        </w:rPr>
        <w:t>„</w:t>
      </w:r>
      <w:r w:rsidR="005A14B6" w:rsidRPr="005A14B6">
        <w:rPr>
          <w:sz w:val="36"/>
          <w:szCs w:val="36"/>
          <w:u w:val="single"/>
        </w:rPr>
        <w:t>PODPORA ROZVOJE NAKLÁDÁNÍ S ODPADEM V KANTONU SARAJEVO</w:t>
      </w:r>
      <w:r w:rsidR="00797053" w:rsidRPr="00797053">
        <w:rPr>
          <w:sz w:val="36"/>
          <w:szCs w:val="36"/>
          <w:u w:val="single"/>
        </w:rPr>
        <w:t>“</w:t>
      </w:r>
    </w:p>
    <w:p w14:paraId="161FC374" w14:textId="7548375E" w:rsidR="003801E4" w:rsidRPr="007C732F" w:rsidRDefault="00766F60" w:rsidP="007C732F">
      <w:pPr>
        <w:jc w:val="center"/>
        <w:rPr>
          <w:sz w:val="36"/>
          <w:szCs w:val="36"/>
          <w:u w:val="single"/>
        </w:rPr>
      </w:pPr>
      <w:r>
        <w:rPr>
          <w:sz w:val="36"/>
          <w:szCs w:val="36"/>
          <w:u w:val="single"/>
        </w:rPr>
        <w:t>pro rok 2021</w:t>
      </w:r>
    </w:p>
    <w:tbl>
      <w:tblPr>
        <w:tblStyle w:val="Svtlmkatabulky"/>
        <w:tblW w:w="14545" w:type="dxa"/>
        <w:tblLook w:val="04A0" w:firstRow="1" w:lastRow="0" w:firstColumn="1" w:lastColumn="0" w:noHBand="0" w:noVBand="1"/>
      </w:tblPr>
      <w:tblGrid>
        <w:gridCol w:w="1595"/>
        <w:gridCol w:w="233"/>
        <w:gridCol w:w="3904"/>
        <w:gridCol w:w="155"/>
        <w:gridCol w:w="7223"/>
        <w:gridCol w:w="14"/>
        <w:gridCol w:w="1421"/>
      </w:tblGrid>
      <w:tr w:rsidR="007C732F" w14:paraId="66BDD4DB" w14:textId="77777777" w:rsidTr="776E250A">
        <w:trPr>
          <w:trHeight w:val="1063"/>
        </w:trPr>
        <w:tc>
          <w:tcPr>
            <w:tcW w:w="1595" w:type="dxa"/>
          </w:tcPr>
          <w:p w14:paraId="5B99EDAA" w14:textId="322DF2B6" w:rsidR="00766F60" w:rsidRPr="00766F60" w:rsidRDefault="00766F60" w:rsidP="00766F60">
            <w:pPr>
              <w:jc w:val="center"/>
              <w:rPr>
                <w:b/>
              </w:rPr>
            </w:pPr>
            <w:r w:rsidRPr="00766F60">
              <w:rPr>
                <w:b/>
              </w:rPr>
              <w:t xml:space="preserve">Datum </w:t>
            </w:r>
            <w:r w:rsidR="007C732F">
              <w:rPr>
                <w:b/>
              </w:rPr>
              <w:t xml:space="preserve">podání </w:t>
            </w:r>
            <w:r w:rsidR="00D411AD">
              <w:rPr>
                <w:b/>
              </w:rPr>
              <w:t>dotazu</w:t>
            </w:r>
          </w:p>
        </w:tc>
        <w:tc>
          <w:tcPr>
            <w:tcW w:w="4137" w:type="dxa"/>
            <w:gridSpan w:val="2"/>
          </w:tcPr>
          <w:p w14:paraId="3B3F7943" w14:textId="77777777" w:rsidR="00766F60" w:rsidRPr="00766F60" w:rsidRDefault="00766F60" w:rsidP="00766F60">
            <w:pPr>
              <w:jc w:val="center"/>
              <w:rPr>
                <w:b/>
              </w:rPr>
            </w:pPr>
            <w:r w:rsidRPr="00766F60">
              <w:rPr>
                <w:b/>
              </w:rPr>
              <w:t>Obsah dotazu</w:t>
            </w:r>
          </w:p>
        </w:tc>
        <w:tc>
          <w:tcPr>
            <w:tcW w:w="7378" w:type="dxa"/>
            <w:gridSpan w:val="2"/>
          </w:tcPr>
          <w:p w14:paraId="0D1BC567" w14:textId="77777777" w:rsidR="00766F60" w:rsidRPr="00766F60" w:rsidRDefault="00766F60" w:rsidP="00766F60">
            <w:pPr>
              <w:jc w:val="center"/>
              <w:rPr>
                <w:b/>
              </w:rPr>
            </w:pPr>
            <w:r w:rsidRPr="00766F60">
              <w:rPr>
                <w:b/>
              </w:rPr>
              <w:t>Obsah odpovědi</w:t>
            </w:r>
          </w:p>
        </w:tc>
        <w:tc>
          <w:tcPr>
            <w:tcW w:w="1435" w:type="dxa"/>
            <w:gridSpan w:val="2"/>
          </w:tcPr>
          <w:p w14:paraId="64DADADC" w14:textId="77777777" w:rsidR="007C732F" w:rsidRDefault="00766F60" w:rsidP="00766F60">
            <w:pPr>
              <w:jc w:val="center"/>
              <w:rPr>
                <w:b/>
              </w:rPr>
            </w:pPr>
            <w:r w:rsidRPr="00766F60">
              <w:rPr>
                <w:b/>
              </w:rPr>
              <w:t xml:space="preserve">Datum </w:t>
            </w:r>
            <w:r w:rsidR="007C732F">
              <w:rPr>
                <w:b/>
              </w:rPr>
              <w:t>podání</w:t>
            </w:r>
          </w:p>
          <w:p w14:paraId="7D70AD85" w14:textId="761A2A6F" w:rsidR="00766F60" w:rsidRPr="00766F60" w:rsidRDefault="00766F60" w:rsidP="00766F60">
            <w:pPr>
              <w:jc w:val="center"/>
              <w:rPr>
                <w:b/>
              </w:rPr>
            </w:pPr>
            <w:r w:rsidRPr="00766F60">
              <w:rPr>
                <w:b/>
              </w:rPr>
              <w:t>odpovědi</w:t>
            </w:r>
          </w:p>
        </w:tc>
      </w:tr>
      <w:tr w:rsidR="00AB6A72" w14:paraId="7FEFB80D" w14:textId="77777777" w:rsidTr="776E250A">
        <w:trPr>
          <w:trHeight w:val="1404"/>
        </w:trPr>
        <w:tc>
          <w:tcPr>
            <w:tcW w:w="1595" w:type="dxa"/>
          </w:tcPr>
          <w:p w14:paraId="18F4A1D1" w14:textId="63706CAF" w:rsidR="00AB6A72" w:rsidRDefault="00AB6A72" w:rsidP="00523F2B">
            <w:pPr>
              <w:jc w:val="center"/>
              <w:rPr>
                <w:bCs/>
              </w:rPr>
            </w:pPr>
            <w:r>
              <w:rPr>
                <w:bCs/>
              </w:rPr>
              <w:t>8.4.2021</w:t>
            </w:r>
          </w:p>
        </w:tc>
        <w:tc>
          <w:tcPr>
            <w:tcW w:w="4137" w:type="dxa"/>
            <w:gridSpan w:val="2"/>
          </w:tcPr>
          <w:p w14:paraId="6B066F55" w14:textId="77777777" w:rsidR="00AB6A72" w:rsidRDefault="00AB6A72" w:rsidP="00315319">
            <w:r>
              <w:t>Dotaz týkající se příloh výzvy č. 6 (Technická specifikace) a č. 7 (Komunální studie o lokalitách):</w:t>
            </w:r>
          </w:p>
          <w:p w14:paraId="70E9F016" w14:textId="77777777" w:rsidR="00AB6A72" w:rsidRDefault="00AB6A72" w:rsidP="00315319">
            <w:r>
              <w:t>Existují též v angličtině, popř. bosenštině (nebo srbštině nebo chorvatštině), a pokud ano, zda nám je můžete poskytnout.</w:t>
            </w:r>
          </w:p>
          <w:p w14:paraId="7BF07FB3" w14:textId="77777777" w:rsidR="00AB6A72" w:rsidRDefault="00AB6A72" w:rsidP="00315319"/>
        </w:tc>
        <w:tc>
          <w:tcPr>
            <w:tcW w:w="7378" w:type="dxa"/>
            <w:gridSpan w:val="2"/>
          </w:tcPr>
          <w:p w14:paraId="59AC5E86" w14:textId="4DDCFB99" w:rsidR="00AB6A72" w:rsidRDefault="00AB6A72" w:rsidP="00AB6A72">
            <w:pPr>
              <w:rPr>
                <w:rStyle w:val="Siln"/>
                <w:rFonts w:ascii="Georgia" w:hAnsi="Georgia"/>
                <w:b w:val="0"/>
                <w:bCs w:val="0"/>
                <w:color w:val="6D6E71"/>
                <w:sz w:val="21"/>
                <w:szCs w:val="21"/>
                <w:shd w:val="clear" w:color="auto" w:fill="FFFFFF"/>
              </w:rPr>
            </w:pPr>
            <w:r>
              <w:t xml:space="preserve">Zde je uveden zveřejněný odkaz na webu ČRA, ve kterém je uložena příloha č. 7 v bosenském jazyce </w:t>
            </w:r>
            <w:hyperlink r:id="rId5" w:history="1">
              <w:r>
                <w:rPr>
                  <w:rStyle w:val="Hypertextovodkaz"/>
                </w:rPr>
                <w:t>http://www.czechaid.cz/dotace/informace-pro-potencionalni-zadatele-o-dotaci-vyzva-podpora-rozvoje-nakladani-s-odpadem-v-kantonu-sarajevo-pro-rok-2021/</w:t>
              </w:r>
            </w:hyperlink>
            <w:r>
              <w:t>. Odkaz na prezentaci naleznete</w:t>
            </w:r>
            <w:r>
              <w:rPr>
                <w:rStyle w:val="Siln"/>
                <w:rFonts w:ascii="Georgia" w:hAnsi="Georgia"/>
                <w:color w:val="6D6E71"/>
                <w:sz w:val="21"/>
                <w:szCs w:val="21"/>
                <w:shd w:val="clear" w:color="auto" w:fill="FFFFFF"/>
              </w:rPr>
              <w:t> </w:t>
            </w:r>
            <w:hyperlink r:id="rId6" w:history="1">
              <w:r>
                <w:rPr>
                  <w:rStyle w:val="Hypertextovodkaz"/>
                  <w:rFonts w:ascii="Georgia" w:hAnsi="Georgia"/>
                  <w:b/>
                  <w:bCs/>
                  <w:color w:val="EF3C38"/>
                  <w:sz w:val="21"/>
                  <w:szCs w:val="21"/>
                  <w:shd w:val="clear" w:color="auto" w:fill="FFFFFF"/>
                </w:rPr>
                <w:t>zde</w:t>
              </w:r>
            </w:hyperlink>
            <w:r>
              <w:rPr>
                <w:rStyle w:val="Siln"/>
                <w:rFonts w:ascii="Georgia" w:hAnsi="Georgia"/>
                <w:color w:val="6D6E71"/>
                <w:sz w:val="21"/>
                <w:szCs w:val="21"/>
                <w:shd w:val="clear" w:color="auto" w:fill="FFFFFF"/>
              </w:rPr>
              <w:t xml:space="preserve">. </w:t>
            </w:r>
            <w:r>
              <w:t>Přílohu č. 6 v jiném jazyce, než v českém bohužel k dispozici nemáme</w:t>
            </w:r>
            <w:r>
              <w:rPr>
                <w:rStyle w:val="Siln"/>
                <w:rFonts w:ascii="Georgia" w:hAnsi="Georgia"/>
                <w:b w:val="0"/>
                <w:bCs w:val="0"/>
                <w:color w:val="6D6E71"/>
                <w:sz w:val="21"/>
                <w:szCs w:val="21"/>
                <w:shd w:val="clear" w:color="auto" w:fill="FFFFFF"/>
              </w:rPr>
              <w:t>.</w:t>
            </w:r>
          </w:p>
          <w:p w14:paraId="545FFFBF" w14:textId="77777777" w:rsidR="00AB6A72" w:rsidRDefault="00AB6A72" w:rsidP="00AB6A72"/>
        </w:tc>
        <w:tc>
          <w:tcPr>
            <w:tcW w:w="1435" w:type="dxa"/>
            <w:gridSpan w:val="2"/>
          </w:tcPr>
          <w:p w14:paraId="44B30F20" w14:textId="77777777" w:rsidR="00AB6A72" w:rsidRDefault="00AB6A72" w:rsidP="00AB6A72">
            <w:pPr>
              <w:jc w:val="center"/>
              <w:rPr>
                <w:bCs/>
              </w:rPr>
            </w:pPr>
            <w:r>
              <w:rPr>
                <w:bCs/>
              </w:rPr>
              <w:t xml:space="preserve">emailem </w:t>
            </w:r>
          </w:p>
          <w:p w14:paraId="01E316D6" w14:textId="24580D4D" w:rsidR="00AB6A72" w:rsidRDefault="00AB6A72" w:rsidP="00AB6A72">
            <w:pPr>
              <w:jc w:val="center"/>
              <w:rPr>
                <w:bCs/>
              </w:rPr>
            </w:pPr>
            <w:r>
              <w:rPr>
                <w:bCs/>
              </w:rPr>
              <w:t>9.4.2021</w:t>
            </w:r>
          </w:p>
        </w:tc>
      </w:tr>
      <w:tr w:rsidR="00AB6A72" w14:paraId="7CD4866E" w14:textId="77777777" w:rsidTr="776E250A">
        <w:trPr>
          <w:trHeight w:val="784"/>
        </w:trPr>
        <w:tc>
          <w:tcPr>
            <w:tcW w:w="1595" w:type="dxa"/>
          </w:tcPr>
          <w:p w14:paraId="7E208424" w14:textId="1EF1B0EC" w:rsidR="00AB6A72" w:rsidRDefault="00523F2B" w:rsidP="00523F2B">
            <w:pPr>
              <w:jc w:val="center"/>
              <w:rPr>
                <w:bCs/>
              </w:rPr>
            </w:pPr>
            <w:r>
              <w:rPr>
                <w:bCs/>
              </w:rPr>
              <w:t>15.4.2021 (datum webináře)</w:t>
            </w:r>
          </w:p>
        </w:tc>
        <w:tc>
          <w:tcPr>
            <w:tcW w:w="4137" w:type="dxa"/>
            <w:gridSpan w:val="2"/>
          </w:tcPr>
          <w:p w14:paraId="407A44D3" w14:textId="628DC930" w:rsidR="00AB6A72" w:rsidRDefault="00AB6A72" w:rsidP="00315319">
            <w:r>
              <w:t>Jaká je maximální hranice podílu administrativních nákladů?</w:t>
            </w:r>
          </w:p>
        </w:tc>
        <w:tc>
          <w:tcPr>
            <w:tcW w:w="7378" w:type="dxa"/>
            <w:gridSpan w:val="2"/>
          </w:tcPr>
          <w:p w14:paraId="2DAF3449" w14:textId="2CCE2FC9" w:rsidR="00AB6A72" w:rsidRDefault="00AB6A72" w:rsidP="00AB6A72">
            <w:r>
              <w:t xml:space="preserve">Pro tuto výzvu je maximální hranice podílu administrativních nákladů stanovena na 7 %. </w:t>
            </w:r>
          </w:p>
        </w:tc>
        <w:tc>
          <w:tcPr>
            <w:tcW w:w="1435" w:type="dxa"/>
            <w:gridSpan w:val="2"/>
          </w:tcPr>
          <w:p w14:paraId="3575A1FF" w14:textId="77777777" w:rsidR="00AB6A72" w:rsidRDefault="00AB6A72" w:rsidP="00AB6A72">
            <w:pPr>
              <w:jc w:val="center"/>
              <w:rPr>
                <w:bCs/>
              </w:rPr>
            </w:pPr>
          </w:p>
        </w:tc>
      </w:tr>
      <w:tr w:rsidR="00AB6A72" w14:paraId="504227DC" w14:textId="77777777" w:rsidTr="776E250A">
        <w:trPr>
          <w:trHeight w:val="1188"/>
        </w:trPr>
        <w:tc>
          <w:tcPr>
            <w:tcW w:w="1595" w:type="dxa"/>
          </w:tcPr>
          <w:p w14:paraId="20B29CE2" w14:textId="3A916B89" w:rsidR="00AB6A72" w:rsidRDefault="00523F2B" w:rsidP="00523F2B">
            <w:pPr>
              <w:jc w:val="center"/>
              <w:rPr>
                <w:bCs/>
              </w:rPr>
            </w:pPr>
            <w:r>
              <w:rPr>
                <w:bCs/>
              </w:rPr>
              <w:t>15.4.2021</w:t>
            </w:r>
          </w:p>
        </w:tc>
        <w:tc>
          <w:tcPr>
            <w:tcW w:w="4137" w:type="dxa"/>
            <w:gridSpan w:val="2"/>
          </w:tcPr>
          <w:p w14:paraId="7F395267" w14:textId="15A3722F" w:rsidR="00AB6A72" w:rsidRDefault="00AB6A72" w:rsidP="00315319">
            <w:r>
              <w:t>Všechny přílohy třeba podat v českém jazyce, nebo je lze (např. projektový návrh) podat i v angličtině?</w:t>
            </w:r>
          </w:p>
        </w:tc>
        <w:tc>
          <w:tcPr>
            <w:tcW w:w="7378" w:type="dxa"/>
            <w:gridSpan w:val="2"/>
          </w:tcPr>
          <w:p w14:paraId="551B447C" w14:textId="75530E63" w:rsidR="00AB6A72" w:rsidRDefault="00AB6A72" w:rsidP="00AB6A72">
            <w:r>
              <w:t xml:space="preserve">Veškeré přílohy jsou požadovány </w:t>
            </w:r>
            <w:r w:rsidR="726EFDE8">
              <w:t xml:space="preserve">předložit </w:t>
            </w:r>
            <w:r>
              <w:t>v českém jazyce</w:t>
            </w:r>
          </w:p>
        </w:tc>
        <w:tc>
          <w:tcPr>
            <w:tcW w:w="1435" w:type="dxa"/>
            <w:gridSpan w:val="2"/>
          </w:tcPr>
          <w:p w14:paraId="121F27AF" w14:textId="77777777" w:rsidR="00AB6A72" w:rsidRDefault="00AB6A72" w:rsidP="00AB6A72">
            <w:pPr>
              <w:jc w:val="center"/>
              <w:rPr>
                <w:bCs/>
              </w:rPr>
            </w:pPr>
          </w:p>
        </w:tc>
      </w:tr>
      <w:tr w:rsidR="00AB6A72" w14:paraId="3F1D6454" w14:textId="77777777" w:rsidTr="776E250A">
        <w:trPr>
          <w:trHeight w:val="1404"/>
        </w:trPr>
        <w:tc>
          <w:tcPr>
            <w:tcW w:w="1595" w:type="dxa"/>
          </w:tcPr>
          <w:p w14:paraId="52B89679" w14:textId="18468D4E" w:rsidR="00AB6A72" w:rsidRDefault="00523F2B" w:rsidP="00523F2B">
            <w:pPr>
              <w:jc w:val="center"/>
              <w:rPr>
                <w:bCs/>
              </w:rPr>
            </w:pPr>
            <w:r>
              <w:rPr>
                <w:bCs/>
              </w:rPr>
              <w:t>15.4.2021</w:t>
            </w:r>
          </w:p>
        </w:tc>
        <w:tc>
          <w:tcPr>
            <w:tcW w:w="4137" w:type="dxa"/>
            <w:gridSpan w:val="2"/>
          </w:tcPr>
          <w:p w14:paraId="0E71887C" w14:textId="03A86A3D" w:rsidR="00AB6A72" w:rsidRDefault="00AB6A72" w:rsidP="00315319">
            <w:r>
              <w:t>Máte představu, jak velká část finančních prostředků by měla být věnována na komunikační kampaň, nebo to necháváte čistě na žadateli?</w:t>
            </w:r>
          </w:p>
        </w:tc>
        <w:tc>
          <w:tcPr>
            <w:tcW w:w="7378" w:type="dxa"/>
            <w:gridSpan w:val="2"/>
          </w:tcPr>
          <w:p w14:paraId="348DBF6F" w14:textId="079F8FCC" w:rsidR="00AB6A72" w:rsidRDefault="00AB6A72" w:rsidP="00AB6A72">
            <w:r>
              <w:t>Žádnou konkrétní představu nemáme. Záleží na tom, jestli si vyberete pouze některé municipality, nebo jestli se rozhodnete zacílit na celý kanton. Doporučujeme se spojit s komunálním podnikem, protože mohou v této věci také plánovat komunikaci. Dále také záleží na tom, jak velké finance Vám na tuto aktivitu z</w:t>
            </w:r>
            <w:r w:rsidR="005F6F71">
              <w:t>ůstanou</w:t>
            </w:r>
            <w:r>
              <w:t>.</w:t>
            </w:r>
          </w:p>
        </w:tc>
        <w:tc>
          <w:tcPr>
            <w:tcW w:w="1435" w:type="dxa"/>
            <w:gridSpan w:val="2"/>
          </w:tcPr>
          <w:p w14:paraId="3CF5DC9E" w14:textId="77777777" w:rsidR="00AB6A72" w:rsidRDefault="00AB6A72" w:rsidP="00AB6A72">
            <w:pPr>
              <w:jc w:val="center"/>
              <w:rPr>
                <w:bCs/>
              </w:rPr>
            </w:pPr>
          </w:p>
        </w:tc>
      </w:tr>
      <w:tr w:rsidR="00AB6A72" w14:paraId="353647FA" w14:textId="77777777" w:rsidTr="776E250A">
        <w:trPr>
          <w:trHeight w:val="1404"/>
        </w:trPr>
        <w:tc>
          <w:tcPr>
            <w:tcW w:w="1595" w:type="dxa"/>
          </w:tcPr>
          <w:p w14:paraId="34483D99" w14:textId="6912766C" w:rsidR="00AB6A72" w:rsidRDefault="00523F2B" w:rsidP="00523F2B">
            <w:pPr>
              <w:jc w:val="center"/>
              <w:rPr>
                <w:bCs/>
              </w:rPr>
            </w:pPr>
            <w:r>
              <w:rPr>
                <w:bCs/>
              </w:rPr>
              <w:lastRenderedPageBreak/>
              <w:t>15.4.2021</w:t>
            </w:r>
          </w:p>
        </w:tc>
        <w:tc>
          <w:tcPr>
            <w:tcW w:w="4137" w:type="dxa"/>
            <w:gridSpan w:val="2"/>
          </w:tcPr>
          <w:p w14:paraId="526FDC90" w14:textId="5FF2F218" w:rsidR="00AB6A72" w:rsidRDefault="00AB6A72" w:rsidP="00315319">
            <w:r>
              <w:t xml:space="preserve">Může každý žadatel podat více žádostí o dotace? Pokud se například někde objevuje subdodavatel, má právo na podání více žádostí o dotace?  </w:t>
            </w:r>
          </w:p>
        </w:tc>
        <w:tc>
          <w:tcPr>
            <w:tcW w:w="7378" w:type="dxa"/>
            <w:gridSpan w:val="2"/>
          </w:tcPr>
          <w:p w14:paraId="286D732E" w14:textId="02222997" w:rsidR="00AB6A72" w:rsidRDefault="00AB6A72" w:rsidP="00AB6A72">
            <w:r>
              <w:t>Ano, v této výzvě tomu tak skutečně je, že každý uchazeč může podat více žádostí o dotaci.</w:t>
            </w:r>
          </w:p>
        </w:tc>
        <w:tc>
          <w:tcPr>
            <w:tcW w:w="1435" w:type="dxa"/>
            <w:gridSpan w:val="2"/>
          </w:tcPr>
          <w:p w14:paraId="09E870A6" w14:textId="77777777" w:rsidR="00AB6A72" w:rsidRDefault="00AB6A72" w:rsidP="00AB6A72">
            <w:pPr>
              <w:jc w:val="center"/>
              <w:rPr>
                <w:bCs/>
              </w:rPr>
            </w:pPr>
          </w:p>
        </w:tc>
      </w:tr>
      <w:tr w:rsidR="00AB6A72" w14:paraId="0E41D19E" w14:textId="77777777" w:rsidTr="776E250A">
        <w:trPr>
          <w:trHeight w:val="3549"/>
        </w:trPr>
        <w:tc>
          <w:tcPr>
            <w:tcW w:w="1595" w:type="dxa"/>
          </w:tcPr>
          <w:p w14:paraId="174D5006" w14:textId="04560B58" w:rsidR="00AB6A72" w:rsidRDefault="00523F2B" w:rsidP="00523F2B">
            <w:pPr>
              <w:jc w:val="center"/>
              <w:rPr>
                <w:bCs/>
              </w:rPr>
            </w:pPr>
            <w:r>
              <w:rPr>
                <w:bCs/>
              </w:rPr>
              <w:t>15.4.2021</w:t>
            </w:r>
          </w:p>
        </w:tc>
        <w:tc>
          <w:tcPr>
            <w:tcW w:w="4137" w:type="dxa"/>
            <w:gridSpan w:val="2"/>
          </w:tcPr>
          <w:p w14:paraId="0C03BD84" w14:textId="5F6B193B" w:rsidR="00AB6A72" w:rsidRDefault="00AB6A72" w:rsidP="00315319">
            <w:r>
              <w:t>Dotaz směřuje k příloze č.7, kde jsou uvedeny některé municipality v kantonu Sarajevo, ale některé zde uvedeny nejsou. Proč tomu tak je? Počítáte s nimi také a jen nedodali údaje? Nebo se to celé musí probrat s podnikem KJKP RAD?</w:t>
            </w:r>
          </w:p>
        </w:tc>
        <w:tc>
          <w:tcPr>
            <w:tcW w:w="7378" w:type="dxa"/>
            <w:gridSpan w:val="2"/>
          </w:tcPr>
          <w:p w14:paraId="068A2170" w14:textId="4AFB0AFE" w:rsidR="00AB6A72" w:rsidRDefault="776E250A" w:rsidP="00AB6A72">
            <w:r>
              <w:t xml:space="preserve">Příloha č.7 byla vytvořena v rámci Kantonu Sarajevo jejich úřadem pro plánování. Pro municipality uvedeny v příloze je tedy již vytvořen plán rozmístění míst, kde probíhá sběr odpadu. Pokud v plánu není zmíněna některá municipalita, pak je pravděpodobné, že buď daná municipalita nedodala údaje, nebo se tyto údaje pouze nedostaly do zkrácené verze prezentace. Na základě komunikace s KJKP RAD víme, že jsou některé municipality aktivnější (například municipality </w:t>
            </w:r>
            <w:proofErr w:type="spellStart"/>
            <w:r>
              <w:t>Ilidža</w:t>
            </w:r>
            <w:proofErr w:type="spellEnd"/>
            <w:r>
              <w:t xml:space="preserve"> a </w:t>
            </w:r>
            <w:proofErr w:type="spellStart"/>
            <w:r>
              <w:t>Ilijaš</w:t>
            </w:r>
            <w:proofErr w:type="spellEnd"/>
            <w:r>
              <w:t>, které na svém území povolily výstavbu recyklačních center) a některé méně. Existuje možnost cílit i na municipality, které v příloze nejsou uvedeny, ovšem nemůžeme zaručit, zda jsou k dispozici údaje (například kde mají být rozmístěny zelené ostrovy apod.). V takovém případě doporučujeme projekt připravovat ve spolupráci s KJKP RAD, který slouží i jako nejlepší zdroj informací.</w:t>
            </w:r>
          </w:p>
        </w:tc>
        <w:tc>
          <w:tcPr>
            <w:tcW w:w="1435" w:type="dxa"/>
            <w:gridSpan w:val="2"/>
          </w:tcPr>
          <w:p w14:paraId="7C3166CD" w14:textId="77777777" w:rsidR="00AB6A72" w:rsidRDefault="00AB6A72" w:rsidP="00AB6A72">
            <w:pPr>
              <w:jc w:val="center"/>
              <w:rPr>
                <w:bCs/>
              </w:rPr>
            </w:pPr>
          </w:p>
        </w:tc>
      </w:tr>
      <w:tr w:rsidR="00AB6A72" w14:paraId="657B7F9B" w14:textId="77777777" w:rsidTr="776E250A">
        <w:trPr>
          <w:trHeight w:val="1261"/>
        </w:trPr>
        <w:tc>
          <w:tcPr>
            <w:tcW w:w="1595" w:type="dxa"/>
          </w:tcPr>
          <w:p w14:paraId="2BBF951D" w14:textId="73FDD6FA" w:rsidR="00AB6A72" w:rsidRDefault="00523F2B" w:rsidP="00523F2B">
            <w:pPr>
              <w:jc w:val="center"/>
              <w:rPr>
                <w:bCs/>
              </w:rPr>
            </w:pPr>
            <w:r>
              <w:rPr>
                <w:bCs/>
              </w:rPr>
              <w:t>15.4.2021</w:t>
            </w:r>
          </w:p>
        </w:tc>
        <w:tc>
          <w:tcPr>
            <w:tcW w:w="4137" w:type="dxa"/>
            <w:gridSpan w:val="2"/>
          </w:tcPr>
          <w:p w14:paraId="6FC842D0" w14:textId="3E6CB34C" w:rsidR="00AB6A72" w:rsidRDefault="00315319" w:rsidP="00315319">
            <w:r>
              <w:t>Otázka k partnerství s</w:t>
            </w:r>
            <w:r w:rsidR="005F6F71">
              <w:t xml:space="preserve"> komunálním podnikem </w:t>
            </w:r>
            <w:r>
              <w:t>RAD</w:t>
            </w:r>
            <w:r w:rsidR="005F6F71">
              <w:t>. J</w:t>
            </w:r>
            <w:r>
              <w:t xml:space="preserve">ak má probíhat jeho oslovení, např. pro to, aby vyjádřili, že jsou obeznámeni s projektovým dokumentem a že s ním souhlasí? </w:t>
            </w:r>
          </w:p>
        </w:tc>
        <w:tc>
          <w:tcPr>
            <w:tcW w:w="7378" w:type="dxa"/>
            <w:gridSpan w:val="2"/>
          </w:tcPr>
          <w:p w14:paraId="70B81820" w14:textId="05F8E65F" w:rsidR="00AB6A72" w:rsidRDefault="776E250A" w:rsidP="00AB6A72">
            <w:r>
              <w:t xml:space="preserve">S RAD bylo komunikováno, že se na něj budou obracet zástupci českých neziskových organizací a aby s každým zacházeli stejně a poskytovali jim stejné informace. RAD je dále obeznámen s tím, že součástí výzvy je dokument (například memorandum či akceptační dopis), prokazující, že komunální podnik ví o tom, že se takovýto projekt připravuje a je potřeba ho z jejich strany vydat a že je v souladu s jeho potřebami. Doporučujeme si o tento dokument žádat s dostatečným časovým předstihem.   </w:t>
            </w:r>
          </w:p>
        </w:tc>
        <w:tc>
          <w:tcPr>
            <w:tcW w:w="1435" w:type="dxa"/>
            <w:gridSpan w:val="2"/>
          </w:tcPr>
          <w:p w14:paraId="6182797C" w14:textId="77777777" w:rsidR="00AB6A72" w:rsidRDefault="00AB6A72" w:rsidP="00AB6A72">
            <w:pPr>
              <w:jc w:val="center"/>
              <w:rPr>
                <w:bCs/>
              </w:rPr>
            </w:pPr>
          </w:p>
        </w:tc>
      </w:tr>
      <w:tr w:rsidR="00AB6A72" w14:paraId="777FA1F2" w14:textId="77777777" w:rsidTr="776E250A">
        <w:trPr>
          <w:trHeight w:val="1686"/>
        </w:trPr>
        <w:tc>
          <w:tcPr>
            <w:tcW w:w="1595" w:type="dxa"/>
          </w:tcPr>
          <w:p w14:paraId="0BFEEA2C" w14:textId="6C2D34DF" w:rsidR="00AB6A72" w:rsidRDefault="00523F2B" w:rsidP="00523F2B">
            <w:pPr>
              <w:jc w:val="center"/>
              <w:rPr>
                <w:bCs/>
              </w:rPr>
            </w:pPr>
            <w:r>
              <w:rPr>
                <w:bCs/>
              </w:rPr>
              <w:t>15.4.2021</w:t>
            </w:r>
          </w:p>
        </w:tc>
        <w:tc>
          <w:tcPr>
            <w:tcW w:w="4137" w:type="dxa"/>
            <w:gridSpan w:val="2"/>
          </w:tcPr>
          <w:p w14:paraId="4D6A4E95" w14:textId="01CBFABD" w:rsidR="00AB6A72" w:rsidRDefault="00AB6A72" w:rsidP="00315319">
            <w:r>
              <w:t>Může být vysoká škola žadatelem o dotaci?</w:t>
            </w:r>
          </w:p>
        </w:tc>
        <w:tc>
          <w:tcPr>
            <w:tcW w:w="7378" w:type="dxa"/>
            <w:gridSpan w:val="2"/>
          </w:tcPr>
          <w:p w14:paraId="0255979A" w14:textId="059FF971" w:rsidR="00AB6A72" w:rsidRDefault="00AB6A72" w:rsidP="25E5D106">
            <w:pPr>
              <w:rPr>
                <w:rFonts w:ascii="Calibri" w:eastAsia="Calibri" w:hAnsi="Calibri" w:cs="Calibri"/>
                <w:color w:val="000000" w:themeColor="text1"/>
              </w:rPr>
            </w:pPr>
            <w:r w:rsidRPr="25E5D106">
              <w:t>Ano,</w:t>
            </w:r>
            <w:r w:rsidR="4FCB8634" w:rsidRPr="25E5D106">
              <w:t xml:space="preserve"> a</w:t>
            </w:r>
            <w:r w:rsidR="4FCB8634" w:rsidRPr="25E5D106">
              <w:rPr>
                <w:rFonts w:ascii="Calibri" w:eastAsia="Calibri" w:hAnsi="Calibri" w:cs="Calibri"/>
                <w:color w:val="000000" w:themeColor="text1"/>
              </w:rPr>
              <w:t>kademické instituce - VŠ jsou oprávněným žadatelem dle bodu c) PRÁVNICKÝM OSOBÁM, které jsou založeny nebo zřízeny k poskytování zdravotních, kulturních, vzdělávacích a sociálních služeb a k poskytování sociálně-právní ochrany dětí, a to výhradně na tyto účely definovaným v § 7 odst. 1 písm. f) zákon o Rozpočtových pravidel.</w:t>
            </w:r>
          </w:p>
        </w:tc>
        <w:tc>
          <w:tcPr>
            <w:tcW w:w="1435" w:type="dxa"/>
            <w:gridSpan w:val="2"/>
          </w:tcPr>
          <w:p w14:paraId="28A5B0E2" w14:textId="77777777" w:rsidR="00AB6A72" w:rsidRDefault="00AB6A72" w:rsidP="00AB6A72">
            <w:pPr>
              <w:jc w:val="center"/>
              <w:rPr>
                <w:bCs/>
              </w:rPr>
            </w:pPr>
          </w:p>
        </w:tc>
      </w:tr>
      <w:tr w:rsidR="00AB6A72" w14:paraId="080AD359" w14:textId="77777777" w:rsidTr="776E250A">
        <w:trPr>
          <w:trHeight w:val="1686"/>
        </w:trPr>
        <w:tc>
          <w:tcPr>
            <w:tcW w:w="1595" w:type="dxa"/>
          </w:tcPr>
          <w:p w14:paraId="7879F733" w14:textId="1D523930" w:rsidR="00AB6A72" w:rsidRDefault="00523F2B" w:rsidP="00523F2B">
            <w:pPr>
              <w:jc w:val="center"/>
              <w:rPr>
                <w:bCs/>
              </w:rPr>
            </w:pPr>
            <w:r>
              <w:rPr>
                <w:bCs/>
              </w:rPr>
              <w:lastRenderedPageBreak/>
              <w:t>15.4.2021</w:t>
            </w:r>
          </w:p>
        </w:tc>
        <w:tc>
          <w:tcPr>
            <w:tcW w:w="4137" w:type="dxa"/>
            <w:gridSpan w:val="2"/>
          </w:tcPr>
          <w:p w14:paraId="7A0D5EC1" w14:textId="6465731B" w:rsidR="00AB6A72" w:rsidRDefault="00AB6A72" w:rsidP="00315319">
            <w:r>
              <w:t>Dotaz k příloze č.6 bodu B. Je možné získat bližší technické zadání?</w:t>
            </w:r>
          </w:p>
        </w:tc>
        <w:tc>
          <w:tcPr>
            <w:tcW w:w="7378" w:type="dxa"/>
            <w:gridSpan w:val="2"/>
          </w:tcPr>
          <w:p w14:paraId="6DF8FC6F" w14:textId="3B726808" w:rsidR="00AB6A72" w:rsidRDefault="776E250A" w:rsidP="00AB6A72">
            <w:r>
              <w:t>Zřejmě máte na mysli ostatní technické vybavení pro recyklační centra/sběrné dvory. Toto vybavení můžete, ale nemusíte dodat. Je ponechán pouze maximální počet věcí, které můžete dodat. Přesnou specifikaci je potřeba domluvit s komunálním podnikem RAD, protože oni disponují danou technikou (např. auty, které mohou dané kontejnery zvedat). V rámci výzvy je ponecháno na uchazečích, aby si dané věci blíže specifikovali sami. Dále je potřeba brát v potaz fakt, že v rámci projektu nelze z dotace financovat   výdaje na pořízení dl. hm. majetku.</w:t>
            </w:r>
          </w:p>
        </w:tc>
        <w:tc>
          <w:tcPr>
            <w:tcW w:w="1435" w:type="dxa"/>
            <w:gridSpan w:val="2"/>
          </w:tcPr>
          <w:p w14:paraId="03F924F1" w14:textId="77777777" w:rsidR="00AB6A72" w:rsidRDefault="00AB6A72" w:rsidP="00AB6A72">
            <w:pPr>
              <w:jc w:val="center"/>
              <w:rPr>
                <w:bCs/>
              </w:rPr>
            </w:pPr>
          </w:p>
        </w:tc>
      </w:tr>
      <w:tr w:rsidR="00AB6A72" w14:paraId="2A8EAF59" w14:textId="77777777" w:rsidTr="776E250A">
        <w:trPr>
          <w:trHeight w:val="1686"/>
        </w:trPr>
        <w:tc>
          <w:tcPr>
            <w:tcW w:w="1595" w:type="dxa"/>
          </w:tcPr>
          <w:p w14:paraId="012A5C42" w14:textId="7668A8BF" w:rsidR="00AB6A72" w:rsidRDefault="00523F2B" w:rsidP="00523F2B">
            <w:pPr>
              <w:jc w:val="center"/>
              <w:rPr>
                <w:bCs/>
              </w:rPr>
            </w:pPr>
            <w:r>
              <w:rPr>
                <w:bCs/>
              </w:rPr>
              <w:t>15.4.2021</w:t>
            </w:r>
          </w:p>
        </w:tc>
        <w:tc>
          <w:tcPr>
            <w:tcW w:w="4137" w:type="dxa"/>
            <w:gridSpan w:val="2"/>
          </w:tcPr>
          <w:p w14:paraId="5121FFDB" w14:textId="04B211BA" w:rsidR="00AB6A72" w:rsidRDefault="00AB6A72" w:rsidP="00315319">
            <w:r>
              <w:t>Doplňující dotaz – v jaké fázi je možné domluvit dané specifikace s komunálním podnikem RAD? Lze se již teď spojit se Sarajevem a komunálním podnikem a zjistit, jaké odpady používají apod.?</w:t>
            </w:r>
          </w:p>
        </w:tc>
        <w:tc>
          <w:tcPr>
            <w:tcW w:w="7378" w:type="dxa"/>
            <w:gridSpan w:val="2"/>
          </w:tcPr>
          <w:p w14:paraId="20615106" w14:textId="74A30208" w:rsidR="00AB6A72" w:rsidRDefault="776E250A" w:rsidP="2E3FDB49">
            <w:r>
              <w:t xml:space="preserve">Ano, můžete se spojit s komunálním podnikem již v tuto dobu. </w:t>
            </w:r>
            <w:r w:rsidRPr="776E250A">
              <w:rPr>
                <w:color w:val="000000" w:themeColor="text1"/>
              </w:rPr>
              <w:t xml:space="preserve">Ve výzvě je uveden email na </w:t>
            </w:r>
            <w:r w:rsidRPr="00045BB2">
              <w:t xml:space="preserve">paní </w:t>
            </w:r>
            <w:proofErr w:type="spellStart"/>
            <w:r w:rsidRPr="00045BB2">
              <w:t>Maida</w:t>
            </w:r>
            <w:proofErr w:type="spellEnd"/>
            <w:r w:rsidRPr="00045BB2">
              <w:t xml:space="preserve"> </w:t>
            </w:r>
            <w:proofErr w:type="spellStart"/>
            <w:r w:rsidRPr="00045BB2">
              <w:t>Čukujević</w:t>
            </w:r>
            <w:proofErr w:type="spellEnd"/>
            <w:r w:rsidRPr="00045BB2">
              <w:t xml:space="preserve"> (</w:t>
            </w:r>
            <w:r w:rsidRPr="776E250A">
              <w:t xml:space="preserve">maida.cukojevic@rad.com.ba) </w:t>
            </w:r>
            <w:r w:rsidRPr="776E250A">
              <w:rPr>
                <w:color w:val="000000" w:themeColor="text1"/>
              </w:rPr>
              <w:t>z komunálního podniku</w:t>
            </w:r>
            <w:r>
              <w:t xml:space="preserve">, která je s celou situací obeznámena a bude s Vámi komunikovat. </w:t>
            </w:r>
          </w:p>
        </w:tc>
        <w:tc>
          <w:tcPr>
            <w:tcW w:w="1435" w:type="dxa"/>
            <w:gridSpan w:val="2"/>
          </w:tcPr>
          <w:p w14:paraId="506E17AA" w14:textId="77777777" w:rsidR="00AB6A72" w:rsidRDefault="00AB6A72" w:rsidP="00AB6A72">
            <w:pPr>
              <w:jc w:val="center"/>
              <w:rPr>
                <w:bCs/>
              </w:rPr>
            </w:pPr>
          </w:p>
        </w:tc>
      </w:tr>
      <w:tr w:rsidR="00AB6A72" w14:paraId="7D44AB47" w14:textId="77777777" w:rsidTr="776E250A">
        <w:trPr>
          <w:trHeight w:val="1686"/>
        </w:trPr>
        <w:tc>
          <w:tcPr>
            <w:tcW w:w="1595" w:type="dxa"/>
          </w:tcPr>
          <w:p w14:paraId="413B83A0" w14:textId="281E9E13" w:rsidR="00AB6A72" w:rsidRDefault="00523F2B" w:rsidP="00523F2B">
            <w:pPr>
              <w:jc w:val="center"/>
              <w:rPr>
                <w:bCs/>
              </w:rPr>
            </w:pPr>
            <w:r>
              <w:rPr>
                <w:bCs/>
              </w:rPr>
              <w:t>15.4.2021</w:t>
            </w:r>
          </w:p>
        </w:tc>
        <w:tc>
          <w:tcPr>
            <w:tcW w:w="4137" w:type="dxa"/>
            <w:gridSpan w:val="2"/>
          </w:tcPr>
          <w:p w14:paraId="233560C7" w14:textId="06ED271A" w:rsidR="00AB6A72" w:rsidRDefault="00AB6A72" w:rsidP="00315319">
            <w:r>
              <w:t xml:space="preserve">Je vyjasněno, jestli </w:t>
            </w:r>
            <w:r w:rsidR="005F6F71">
              <w:t>mohou</w:t>
            </w:r>
            <w:r>
              <w:t xml:space="preserve"> o dotaci</w:t>
            </w:r>
            <w:r w:rsidR="005F6F71">
              <w:t xml:space="preserve"> žádat i </w:t>
            </w:r>
            <w:r>
              <w:t>konsorcia složená z neziskových organizací a komerčních subjektů</w:t>
            </w:r>
            <w:r w:rsidR="005F6F71">
              <w:t>?</w:t>
            </w:r>
          </w:p>
        </w:tc>
        <w:tc>
          <w:tcPr>
            <w:tcW w:w="7378" w:type="dxa"/>
            <w:gridSpan w:val="2"/>
          </w:tcPr>
          <w:p w14:paraId="51CE7FFE" w14:textId="004D98FE" w:rsidR="00AB6A72" w:rsidRDefault="293B948B" w:rsidP="25E5D106">
            <w:pPr>
              <w:rPr>
                <w:rFonts w:ascii="Calibri" w:eastAsia="Calibri" w:hAnsi="Calibri" w:cs="Calibri"/>
                <w:color w:val="000000" w:themeColor="text1"/>
              </w:rPr>
            </w:pPr>
            <w:r w:rsidRPr="25E5D106">
              <w:rPr>
                <w:rFonts w:ascii="Calibri" w:eastAsia="Calibri" w:hAnsi="Calibri" w:cs="Calibri"/>
                <w:color w:val="000000" w:themeColor="text1"/>
              </w:rPr>
              <w:t>Žadatelem o dotaci může být pouze jeden subjekt z okruhu oprávněných žadatelů o dotaci, který je uveden ve výzvě. Poskytovatel nepřipouští podání žádosti o dotaci ze strany konsorcií (sdružení žadatelů o dotaci). Ostatní subjekty/jednotlivci musí být v zaměstnaneckém poměru k žadateli, v pozici subdodavatele či jiném obdobném dodavatelsko-odběratelském vztahu. Tzn. musí být jeden řešitel – právnická osoba.</w:t>
            </w:r>
          </w:p>
        </w:tc>
        <w:tc>
          <w:tcPr>
            <w:tcW w:w="1435" w:type="dxa"/>
            <w:gridSpan w:val="2"/>
          </w:tcPr>
          <w:p w14:paraId="7A111AF9" w14:textId="77777777" w:rsidR="00AB6A72" w:rsidRDefault="00AB6A72" w:rsidP="00AB6A72">
            <w:pPr>
              <w:jc w:val="center"/>
              <w:rPr>
                <w:bCs/>
              </w:rPr>
            </w:pPr>
          </w:p>
        </w:tc>
      </w:tr>
      <w:tr w:rsidR="00AB6A72" w14:paraId="6411AF51" w14:textId="77777777" w:rsidTr="776E250A">
        <w:trPr>
          <w:trHeight w:val="1686"/>
        </w:trPr>
        <w:tc>
          <w:tcPr>
            <w:tcW w:w="1595" w:type="dxa"/>
          </w:tcPr>
          <w:p w14:paraId="3B52C331" w14:textId="39A30DF4" w:rsidR="00AB6A72" w:rsidRDefault="00523F2B" w:rsidP="00523F2B">
            <w:pPr>
              <w:jc w:val="center"/>
              <w:rPr>
                <w:bCs/>
              </w:rPr>
            </w:pPr>
            <w:r>
              <w:rPr>
                <w:bCs/>
              </w:rPr>
              <w:t>15.4.2021</w:t>
            </w:r>
          </w:p>
        </w:tc>
        <w:tc>
          <w:tcPr>
            <w:tcW w:w="4137" w:type="dxa"/>
            <w:gridSpan w:val="2"/>
          </w:tcPr>
          <w:p w14:paraId="167EE47F" w14:textId="0725DDF5" w:rsidR="00AB6A72" w:rsidRDefault="00AB6A72" w:rsidP="00315319">
            <w:r>
              <w:t>Pokud dojdeme k závěru, že je u některých věcí vhodnější využít kvalitnější vybavení, je možné navrhnout takové vybavení, i když bude o trochu dražší, než vybavení splňující minimální parametry?</w:t>
            </w:r>
          </w:p>
          <w:p w14:paraId="20763F4B" w14:textId="77777777" w:rsidR="00AB6A72" w:rsidRDefault="00AB6A72" w:rsidP="00315319"/>
          <w:p w14:paraId="71170BC9" w14:textId="5EB719DE" w:rsidR="00AB6A72" w:rsidRDefault="00AB6A72" w:rsidP="00315319">
            <w:r>
              <w:t>A jaký je předpokládaný termín dodání do Sarajeva?</w:t>
            </w:r>
          </w:p>
        </w:tc>
        <w:tc>
          <w:tcPr>
            <w:tcW w:w="7378" w:type="dxa"/>
            <w:gridSpan w:val="2"/>
          </w:tcPr>
          <w:p w14:paraId="12EFAF08" w14:textId="0B7CB481" w:rsidR="00AB6A72" w:rsidRDefault="00AB6A72" w:rsidP="00AB6A72">
            <w:r>
              <w:t>Ano, je možné využít kvalitnější variantu, ovšem je potřeba toto rozhodnutí zdůvodnit. Doporučujeme danou věc konzultovat s partnerem, jestli by mu kvalitnější vybavení vyhovovalo. Může se stát, že má např. pro určitou specifikaci důvod, který ne</w:t>
            </w:r>
            <w:r w:rsidR="65387D39">
              <w:t>známe</w:t>
            </w:r>
            <w:r>
              <w:t xml:space="preserve">.  </w:t>
            </w:r>
          </w:p>
          <w:p w14:paraId="647E4173" w14:textId="77777777" w:rsidR="00AB6A72" w:rsidRDefault="00AB6A72" w:rsidP="00AB6A72"/>
          <w:p w14:paraId="31C1EC4E" w14:textId="54A7961A" w:rsidR="25E5D106" w:rsidRDefault="25E5D106"/>
          <w:p w14:paraId="1C2C07D2" w14:textId="0C91EDEB" w:rsidR="00AB6A72" w:rsidRDefault="00AB6A72" w:rsidP="00AB6A72">
            <w:r>
              <w:t xml:space="preserve">Termín dodání stanovujete sami na základě finančního rozložení dotace. </w:t>
            </w:r>
          </w:p>
        </w:tc>
        <w:tc>
          <w:tcPr>
            <w:tcW w:w="1435" w:type="dxa"/>
            <w:gridSpan w:val="2"/>
          </w:tcPr>
          <w:p w14:paraId="6034C90C" w14:textId="77777777" w:rsidR="00AB6A72" w:rsidRDefault="00AB6A72" w:rsidP="00AB6A72">
            <w:pPr>
              <w:jc w:val="center"/>
              <w:rPr>
                <w:bCs/>
              </w:rPr>
            </w:pPr>
          </w:p>
        </w:tc>
      </w:tr>
      <w:tr w:rsidR="00AB6A72" w14:paraId="7B114AA8" w14:textId="77777777" w:rsidTr="776E250A">
        <w:trPr>
          <w:trHeight w:val="1686"/>
        </w:trPr>
        <w:tc>
          <w:tcPr>
            <w:tcW w:w="1595" w:type="dxa"/>
          </w:tcPr>
          <w:p w14:paraId="32CB40FA" w14:textId="3F5B1552" w:rsidR="00AB6A72" w:rsidRDefault="00523F2B" w:rsidP="00523F2B">
            <w:pPr>
              <w:jc w:val="center"/>
              <w:rPr>
                <w:bCs/>
              </w:rPr>
            </w:pPr>
            <w:r>
              <w:rPr>
                <w:bCs/>
              </w:rPr>
              <w:lastRenderedPageBreak/>
              <w:t>15.4.2021</w:t>
            </w:r>
          </w:p>
        </w:tc>
        <w:tc>
          <w:tcPr>
            <w:tcW w:w="4137" w:type="dxa"/>
            <w:gridSpan w:val="2"/>
          </w:tcPr>
          <w:p w14:paraId="3A88747D" w14:textId="69BA26C2" w:rsidR="00AB6A72" w:rsidRDefault="776E250A" w:rsidP="00315319">
            <w:r>
              <w:t xml:space="preserve">Navazující dotaz k zakázce. V situaci, kdy jsme dodavatelem, nikoliv vlastníkem vybavení, řídíme se stále českým zákonem o zadávání veřejných zakázek, i když soutěžíme pro subjekt v Sarajevu? </w:t>
            </w:r>
          </w:p>
        </w:tc>
        <w:tc>
          <w:tcPr>
            <w:tcW w:w="7378" w:type="dxa"/>
            <w:gridSpan w:val="2"/>
          </w:tcPr>
          <w:p w14:paraId="1FE9A5B2" w14:textId="6C715D50" w:rsidR="00AB6A72" w:rsidRDefault="00AB6A72" w:rsidP="00AB6A72">
            <w:r>
              <w:t xml:space="preserve">Ano, zakázku </w:t>
            </w:r>
            <w:r w:rsidR="6864ABDE">
              <w:t xml:space="preserve">na dodání vybavení </w:t>
            </w:r>
            <w:r>
              <w:t xml:space="preserve">zadáváte </w:t>
            </w:r>
            <w:r w:rsidR="55B51AD4">
              <w:t>dle české legislativy, t</w:t>
            </w:r>
            <w:r w:rsidR="005F6F71">
              <w:t>udíž se</w:t>
            </w:r>
            <w:r>
              <w:t xml:space="preserve"> drž</w:t>
            </w:r>
            <w:r w:rsidR="005F6F71">
              <w:t xml:space="preserve">íte </w:t>
            </w:r>
            <w:r>
              <w:t>zákon</w:t>
            </w:r>
            <w:r w:rsidR="29BFC6AD">
              <w:t>a</w:t>
            </w:r>
            <w:r>
              <w:t xml:space="preserve"> o zadávání veřejných zakázek</w:t>
            </w:r>
            <w:r w:rsidR="005F6F71">
              <w:t xml:space="preserve"> a </w:t>
            </w:r>
            <w:r>
              <w:t>použ</w:t>
            </w:r>
            <w:r w:rsidR="005F6F71">
              <w:t>ijete</w:t>
            </w:r>
            <w:r>
              <w:t xml:space="preserve"> národní elektronický nástroj</w:t>
            </w:r>
            <w:r w:rsidR="268795F1">
              <w:t xml:space="preserve"> pro zadavatele VZ</w:t>
            </w:r>
            <w:r>
              <w:t xml:space="preserve">. </w:t>
            </w:r>
          </w:p>
        </w:tc>
        <w:tc>
          <w:tcPr>
            <w:tcW w:w="1435" w:type="dxa"/>
            <w:gridSpan w:val="2"/>
          </w:tcPr>
          <w:p w14:paraId="61865FAD" w14:textId="77777777" w:rsidR="00AB6A72" w:rsidRDefault="00AB6A72" w:rsidP="00AB6A72">
            <w:pPr>
              <w:jc w:val="center"/>
              <w:rPr>
                <w:bCs/>
              </w:rPr>
            </w:pPr>
          </w:p>
        </w:tc>
      </w:tr>
      <w:tr w:rsidR="00AB6A72" w14:paraId="4F03A786" w14:textId="77777777" w:rsidTr="776E250A">
        <w:trPr>
          <w:trHeight w:val="1686"/>
        </w:trPr>
        <w:tc>
          <w:tcPr>
            <w:tcW w:w="1595" w:type="dxa"/>
          </w:tcPr>
          <w:p w14:paraId="56291E84" w14:textId="244DAFCD" w:rsidR="00AB6A72" w:rsidRDefault="00523F2B" w:rsidP="00523F2B">
            <w:pPr>
              <w:jc w:val="center"/>
              <w:rPr>
                <w:bCs/>
              </w:rPr>
            </w:pPr>
            <w:r>
              <w:rPr>
                <w:bCs/>
              </w:rPr>
              <w:t>15.4.2021</w:t>
            </w:r>
          </w:p>
        </w:tc>
        <w:tc>
          <w:tcPr>
            <w:tcW w:w="4137" w:type="dxa"/>
            <w:gridSpan w:val="2"/>
          </w:tcPr>
          <w:p w14:paraId="0284A1A5" w14:textId="1D19B856" w:rsidR="00AB6A72" w:rsidRDefault="00315319" w:rsidP="00315319">
            <w:r>
              <w:t>Navazující dotaz - b</w:t>
            </w:r>
            <w:r w:rsidR="00AB6A72">
              <w:t xml:space="preserve">ude dané vybavení účetně </w:t>
            </w:r>
            <w:r>
              <w:t xml:space="preserve">vykázáno </w:t>
            </w:r>
            <w:r w:rsidR="00AB6A72">
              <w:t>v našem majetku?</w:t>
            </w:r>
          </w:p>
        </w:tc>
        <w:tc>
          <w:tcPr>
            <w:tcW w:w="7378" w:type="dxa"/>
            <w:gridSpan w:val="2"/>
          </w:tcPr>
          <w:p w14:paraId="3539FBCD" w14:textId="6F0BD122" w:rsidR="00AB6A72" w:rsidRDefault="005F6F71" w:rsidP="00AB6A72">
            <w:r>
              <w:t>Př</w:t>
            </w:r>
            <w:r w:rsidR="35405DDA">
              <w:t>ijetím</w:t>
            </w:r>
            <w:r w:rsidR="00AB6A72">
              <w:t xml:space="preserve"> dotace </w:t>
            </w:r>
            <w:r>
              <w:t xml:space="preserve">se </w:t>
            </w:r>
            <w:r w:rsidR="00AB6A72">
              <w:t>zavazujete k</w:t>
            </w:r>
            <w:r>
              <w:t> jej</w:t>
            </w:r>
            <w:r w:rsidR="70CC8419">
              <w:t>ímu</w:t>
            </w:r>
            <w:r>
              <w:t xml:space="preserve"> použití</w:t>
            </w:r>
            <w:r w:rsidR="00AB6A72">
              <w:t xml:space="preserve"> v souladu s</w:t>
            </w:r>
            <w:r w:rsidR="1E4058A1">
              <w:t xml:space="preserve"> Rozhodnutím o poskytnutí dotace a dalšími právními předpisy pro nakládání s veřejnými</w:t>
            </w:r>
            <w:r w:rsidR="4A97EB67">
              <w:t xml:space="preserve"> finančními</w:t>
            </w:r>
            <w:r w:rsidR="1E4058A1">
              <w:t xml:space="preserve"> prostředky. </w:t>
            </w:r>
            <w:r w:rsidR="00AB6A72">
              <w:t xml:space="preserve">Doporučujeme </w:t>
            </w:r>
            <w:r w:rsidR="25A11523">
              <w:t xml:space="preserve">účetní postupy pro NNO </w:t>
            </w:r>
            <w:r w:rsidR="00AB6A72">
              <w:t>probrat s Vaš</w:t>
            </w:r>
            <w:r>
              <w:t>í</w:t>
            </w:r>
            <w:r w:rsidR="00AB6A72">
              <w:t>m finančním úřadem.</w:t>
            </w:r>
          </w:p>
        </w:tc>
        <w:tc>
          <w:tcPr>
            <w:tcW w:w="1435" w:type="dxa"/>
            <w:gridSpan w:val="2"/>
          </w:tcPr>
          <w:p w14:paraId="0C7DBE8C" w14:textId="77777777" w:rsidR="00AB6A72" w:rsidRDefault="00AB6A72" w:rsidP="00AB6A72">
            <w:pPr>
              <w:jc w:val="center"/>
              <w:rPr>
                <w:bCs/>
              </w:rPr>
            </w:pPr>
          </w:p>
        </w:tc>
      </w:tr>
      <w:tr w:rsidR="00AB6A72" w14:paraId="5A925C5A" w14:textId="77777777" w:rsidTr="776E250A">
        <w:trPr>
          <w:trHeight w:val="1686"/>
        </w:trPr>
        <w:tc>
          <w:tcPr>
            <w:tcW w:w="1595" w:type="dxa"/>
          </w:tcPr>
          <w:p w14:paraId="68FA25EE" w14:textId="535E0A1D" w:rsidR="00AB6A72" w:rsidRDefault="00523F2B" w:rsidP="00523F2B">
            <w:pPr>
              <w:jc w:val="center"/>
              <w:rPr>
                <w:bCs/>
              </w:rPr>
            </w:pPr>
            <w:r>
              <w:rPr>
                <w:bCs/>
              </w:rPr>
              <w:t>15.4.2021</w:t>
            </w:r>
          </w:p>
        </w:tc>
        <w:tc>
          <w:tcPr>
            <w:tcW w:w="4137" w:type="dxa"/>
            <w:gridSpan w:val="2"/>
          </w:tcPr>
          <w:p w14:paraId="5F8E0C4D" w14:textId="5D802CA0" w:rsidR="00C03BF7" w:rsidRDefault="776E250A" w:rsidP="00315319">
            <w:r>
              <w:t>Dotaz směřuje k nepřímým výdajům projektu. Ty jsou popsány tak, že nesmí zahrnovat žádné přímé výdaje, nebo výdaje již hrazené v rámci jiných položek rozpočtu projektu. Znamená to tedy, že se náklad nesmí vykázat dvakrát, a také to, že pokud už je v přímých nákladech rozpočtu zahrnuta určitá položka (například na nájem kanceláře), není možné uhradit její část skrze nepřímé výdaje projektu (protože se už nachází mezi přímými výdaji).</w:t>
            </w:r>
          </w:p>
        </w:tc>
        <w:tc>
          <w:tcPr>
            <w:tcW w:w="7378" w:type="dxa"/>
            <w:gridSpan w:val="2"/>
          </w:tcPr>
          <w:p w14:paraId="677AD4F0" w14:textId="23279192" w:rsidR="00AB6A72" w:rsidRDefault="70BE25EA" w:rsidP="25E5D106">
            <w:r>
              <w:t>Ano, definice a způsob vykázání nepřímých výdajů je uvedena v dokumentu Posuzování uznatelných výdajů neinvestičních projektů ZRS</w:t>
            </w:r>
            <w:r w:rsidR="4DD764AA">
              <w:t xml:space="preserve">, bude rovněž předložena informace o použití dotace na </w:t>
            </w:r>
            <w:r w:rsidR="27477301">
              <w:t xml:space="preserve">kapitolu </w:t>
            </w:r>
            <w:r w:rsidR="4DD764AA">
              <w:t xml:space="preserve">administrativní náklady v rámci reportingu v roční monitorovací zprávě o průběhu </w:t>
            </w:r>
            <w:r w:rsidR="57661538">
              <w:t>realizace projektu</w:t>
            </w:r>
            <w:r>
              <w:t>.</w:t>
            </w:r>
          </w:p>
        </w:tc>
        <w:tc>
          <w:tcPr>
            <w:tcW w:w="1435" w:type="dxa"/>
            <w:gridSpan w:val="2"/>
          </w:tcPr>
          <w:p w14:paraId="6E47FBC3" w14:textId="77777777" w:rsidR="00AB6A72" w:rsidRDefault="00AB6A72" w:rsidP="00AB6A72">
            <w:pPr>
              <w:jc w:val="center"/>
              <w:rPr>
                <w:bCs/>
              </w:rPr>
            </w:pPr>
          </w:p>
        </w:tc>
      </w:tr>
      <w:tr w:rsidR="00AB6A72" w14:paraId="2B24DE44" w14:textId="77777777" w:rsidTr="776E250A">
        <w:trPr>
          <w:trHeight w:val="1686"/>
        </w:trPr>
        <w:tc>
          <w:tcPr>
            <w:tcW w:w="1595" w:type="dxa"/>
          </w:tcPr>
          <w:p w14:paraId="1239D0BA" w14:textId="59B6CEAE" w:rsidR="00AB6A72" w:rsidRDefault="00523F2B" w:rsidP="00523F2B">
            <w:pPr>
              <w:jc w:val="center"/>
              <w:rPr>
                <w:bCs/>
              </w:rPr>
            </w:pPr>
            <w:r>
              <w:rPr>
                <w:bCs/>
              </w:rPr>
              <w:t>15.4.2021</w:t>
            </w:r>
          </w:p>
        </w:tc>
        <w:tc>
          <w:tcPr>
            <w:tcW w:w="4137" w:type="dxa"/>
            <w:gridSpan w:val="2"/>
          </w:tcPr>
          <w:p w14:paraId="4F091E66" w14:textId="75945E39" w:rsidR="00AB6A72" w:rsidRDefault="00AB6A72" w:rsidP="00315319">
            <w:r>
              <w:t>Existuje nějaká finanční částka, pod kterou není potřeba přidávat k</w:t>
            </w:r>
            <w:r w:rsidR="00315319">
              <w:t> </w:t>
            </w:r>
            <w:r>
              <w:t>dokladu</w:t>
            </w:r>
            <w:r w:rsidR="00315319">
              <w:t xml:space="preserve"> v cizím jazyce</w:t>
            </w:r>
            <w:r>
              <w:t xml:space="preserve"> český překlad, nebo je povinnost </w:t>
            </w:r>
            <w:r w:rsidR="00315319">
              <w:t>opatřit veškeré doklady v cizím jazyce českým překladem, i když se jedná o drobné výdaje v řádu několika korun?</w:t>
            </w:r>
          </w:p>
        </w:tc>
        <w:tc>
          <w:tcPr>
            <w:tcW w:w="7378" w:type="dxa"/>
            <w:gridSpan w:val="2"/>
          </w:tcPr>
          <w:p w14:paraId="2BE01D0D" w14:textId="6C636E8E" w:rsidR="00AB6A72" w:rsidRDefault="60F23A00" w:rsidP="25E5D106">
            <w:pPr>
              <w:rPr>
                <w:rFonts w:ascii="Calibri" w:eastAsia="Calibri" w:hAnsi="Calibri" w:cs="Calibri"/>
              </w:rPr>
            </w:pPr>
            <w:r w:rsidRPr="25E5D106">
              <w:rPr>
                <w:rFonts w:ascii="Calibri" w:eastAsia="Calibri" w:hAnsi="Calibri" w:cs="Calibri"/>
              </w:rPr>
              <w:t>V dokumentu Posuzování uznatelných výdajů je uvedeno, že doklady k výdaji vystavené v cizím jazyce (jiném než anglickém) musí splňovat podmínku srozumitelnosti, tj. musí být možnost spolehlivě a jednoznačně určit obsah účetního případu. Na dokladu k výdaji vystavenému v cizím jazyce budou do českého jazyka přeloženy min. tyto údaje: dodavatel, odběratel, předmět plnění, datum uskutečnění zdanitelného plnění, datum vystavení, datum splatnosti a název projektu.</w:t>
            </w:r>
          </w:p>
        </w:tc>
        <w:tc>
          <w:tcPr>
            <w:tcW w:w="1435" w:type="dxa"/>
            <w:gridSpan w:val="2"/>
          </w:tcPr>
          <w:p w14:paraId="4FC74813" w14:textId="77777777" w:rsidR="00AB6A72" w:rsidRDefault="00AB6A72" w:rsidP="00AB6A72">
            <w:pPr>
              <w:jc w:val="center"/>
              <w:rPr>
                <w:bCs/>
              </w:rPr>
            </w:pPr>
          </w:p>
        </w:tc>
      </w:tr>
      <w:tr w:rsidR="00AB6A72" w14:paraId="54E5B476" w14:textId="77777777" w:rsidTr="776E250A">
        <w:trPr>
          <w:trHeight w:val="1686"/>
        </w:trPr>
        <w:tc>
          <w:tcPr>
            <w:tcW w:w="1595" w:type="dxa"/>
          </w:tcPr>
          <w:p w14:paraId="4FF25603" w14:textId="5523C260" w:rsidR="00AB6A72" w:rsidRDefault="00523F2B" w:rsidP="00523F2B">
            <w:pPr>
              <w:jc w:val="center"/>
              <w:rPr>
                <w:bCs/>
              </w:rPr>
            </w:pPr>
            <w:r>
              <w:rPr>
                <w:bCs/>
              </w:rPr>
              <w:lastRenderedPageBreak/>
              <w:t>15.4.2021</w:t>
            </w:r>
          </w:p>
        </w:tc>
        <w:tc>
          <w:tcPr>
            <w:tcW w:w="4137" w:type="dxa"/>
            <w:gridSpan w:val="2"/>
          </w:tcPr>
          <w:p w14:paraId="1EDA9426" w14:textId="78959B76" w:rsidR="00AB6A72" w:rsidRPr="00AB6A72" w:rsidRDefault="00AB6A72" w:rsidP="00315319">
            <w:r>
              <w:t xml:space="preserve">Limit 80 000 </w:t>
            </w:r>
            <w:r w:rsidR="00C03BF7">
              <w:t>Kč</w:t>
            </w:r>
            <w:r w:rsidR="3869E919">
              <w:t xml:space="preserve"> bez DPH</w:t>
            </w:r>
            <w:r w:rsidR="00C03BF7">
              <w:t xml:space="preserve"> na kus </w:t>
            </w:r>
            <w:r>
              <w:t>neplatí, pokud ho u nějakého výrobku není možné splnit?</w:t>
            </w:r>
          </w:p>
        </w:tc>
        <w:tc>
          <w:tcPr>
            <w:tcW w:w="7378" w:type="dxa"/>
            <w:gridSpan w:val="2"/>
          </w:tcPr>
          <w:p w14:paraId="427239B1" w14:textId="1A1E0E8E" w:rsidR="00AB6A72" w:rsidRDefault="776E250A" w:rsidP="25E5D106">
            <w:pPr>
              <w:rPr>
                <w:rFonts w:ascii="Calibri" w:eastAsia="Calibri" w:hAnsi="Calibri" w:cs="Calibri"/>
              </w:rPr>
            </w:pPr>
            <w:r w:rsidRPr="776E250A">
              <w:rPr>
                <w:rFonts w:ascii="Calibri" w:eastAsia="Calibri" w:hAnsi="Calibri" w:cs="Calibri"/>
              </w:rPr>
              <w:t xml:space="preserve">V dokumentu Posuzování uznatelných výdajů a v souladu s touto výzvou je uvedeno, že celkové způsobilé výdaje musí být v rámci projektu použity na realizaci neinvestičních aktivit vytvořených vlastní činností žadatele/konečného příjemce a jeho partnerů, na externí pořízení dodávek a spotřebního materiálu, které budou souviset s realizací projektu, a které nespadají do skupiny odepisovaného dlouhodobého hm. majetku -  </w:t>
            </w:r>
            <w:r w:rsidRPr="776E250A">
              <w:rPr>
                <w:rFonts w:ascii="Calibri" w:eastAsia="Calibri" w:hAnsi="Calibri" w:cs="Calibri"/>
                <w:i/>
                <w:iCs/>
              </w:rPr>
              <w:t xml:space="preserve">Vymezení pojmu dlouhodobý hmotný a nehmotný odepisovaný majetek a jeho ocenění pro účely zákona o daních z příjmu a stanovení daňových odpisů je upraveno prostřednictvím § 26 a § 32a zákona č. 586/1992 Sb., o daních z příjmu, ve znění pozdějších předpisů. Neuznatelné výdaje na pořízení dlouhodobého hmotného odepisovaného majetku – investiční povahy - samostatné movité věci, případně soubory movitých věcí se samostatným </w:t>
            </w:r>
            <w:proofErr w:type="spellStart"/>
            <w:r w:rsidRPr="776E250A">
              <w:rPr>
                <w:rFonts w:ascii="Calibri" w:eastAsia="Calibri" w:hAnsi="Calibri" w:cs="Calibri"/>
                <w:i/>
                <w:iCs/>
              </w:rPr>
              <w:t>technicko-ekonomickým</w:t>
            </w:r>
            <w:proofErr w:type="spellEnd"/>
            <w:r w:rsidRPr="776E250A">
              <w:rPr>
                <w:rFonts w:ascii="Calibri" w:eastAsia="Calibri" w:hAnsi="Calibri" w:cs="Calibri"/>
                <w:i/>
                <w:iCs/>
              </w:rPr>
              <w:t xml:space="preserve"> určením, jejichž vstupní cena je vyšší než 80 000 Kč bez DPH (za ks) a provozně-technická funkce delší než 1 rok, včetně budov, bytů, nebytových prostor a staveb, jiný majetek (např. technické zhodnocení).</w:t>
            </w:r>
          </w:p>
        </w:tc>
        <w:tc>
          <w:tcPr>
            <w:tcW w:w="1435" w:type="dxa"/>
            <w:gridSpan w:val="2"/>
          </w:tcPr>
          <w:p w14:paraId="331C0482" w14:textId="77777777" w:rsidR="00AB6A72" w:rsidRDefault="00AB6A72" w:rsidP="00AB6A72">
            <w:pPr>
              <w:jc w:val="center"/>
              <w:rPr>
                <w:bCs/>
              </w:rPr>
            </w:pPr>
          </w:p>
        </w:tc>
      </w:tr>
      <w:tr w:rsidR="00A100F4" w14:paraId="63618CFB" w14:textId="77777777" w:rsidTr="00667EC0">
        <w:trPr>
          <w:trHeight w:val="1686"/>
        </w:trPr>
        <w:tc>
          <w:tcPr>
            <w:tcW w:w="1828" w:type="dxa"/>
            <w:gridSpan w:val="2"/>
          </w:tcPr>
          <w:p w14:paraId="2AE40EDB" w14:textId="77777777" w:rsidR="00A100F4" w:rsidRDefault="00A100F4" w:rsidP="00667EC0">
            <w:pPr>
              <w:jc w:val="center"/>
              <w:rPr>
                <w:bCs/>
              </w:rPr>
            </w:pPr>
            <w:r>
              <w:rPr>
                <w:bCs/>
              </w:rPr>
              <w:t>19.4.2021</w:t>
            </w:r>
          </w:p>
        </w:tc>
        <w:tc>
          <w:tcPr>
            <w:tcW w:w="4059" w:type="dxa"/>
            <w:gridSpan w:val="2"/>
          </w:tcPr>
          <w:p w14:paraId="0A1AA621" w14:textId="77777777" w:rsidR="00A100F4" w:rsidRDefault="00A100F4" w:rsidP="00667EC0">
            <w:r>
              <w:t>Je vysoká škola způsobilým žadatelem?</w:t>
            </w:r>
          </w:p>
          <w:p w14:paraId="3B63E6CD" w14:textId="77777777" w:rsidR="00A100F4" w:rsidRDefault="00A100F4" w:rsidP="00667EC0"/>
          <w:p w14:paraId="029A23C3" w14:textId="77777777" w:rsidR="00A100F4" w:rsidRDefault="00A100F4" w:rsidP="00667EC0"/>
          <w:p w14:paraId="6E5AA8C8" w14:textId="77777777" w:rsidR="00A100F4" w:rsidRDefault="00A100F4" w:rsidP="00667EC0"/>
          <w:p w14:paraId="270A02A9" w14:textId="77777777" w:rsidR="00A100F4" w:rsidRDefault="00A100F4" w:rsidP="00667EC0"/>
          <w:p w14:paraId="4614DD7E" w14:textId="77777777" w:rsidR="00A100F4" w:rsidRDefault="00A100F4" w:rsidP="00667EC0"/>
          <w:p w14:paraId="29820B48" w14:textId="77777777" w:rsidR="00A100F4" w:rsidRDefault="00A100F4" w:rsidP="00667EC0">
            <w:r>
              <w:t>Dále bych chtěl požádat o prodloužení lhůty pro podání žádosti o poskytnutí dotace.</w:t>
            </w:r>
          </w:p>
        </w:tc>
        <w:tc>
          <w:tcPr>
            <w:tcW w:w="7237" w:type="dxa"/>
            <w:gridSpan w:val="2"/>
          </w:tcPr>
          <w:p w14:paraId="7CF7A132" w14:textId="77777777" w:rsidR="00A100F4" w:rsidRDefault="00A100F4" w:rsidP="00A100F4">
            <w:pPr>
              <w:pStyle w:val="Odstavecseseznamem"/>
              <w:numPr>
                <w:ilvl w:val="0"/>
                <w:numId w:val="19"/>
              </w:numPr>
            </w:pPr>
            <w:r w:rsidRPr="00193497">
              <w:t>Akademické instituce - VŠ jsou oprávněným žadatelem dle bodu c) PRÁVNICKÝM OSOBÁM, které jsou založeny nebo zřízeny k poskytování zdravotních, kulturních, vzdělávacích a sociálních služeb a k poskytování sociálně-právní ochrany dětí, a to výhradně na tyto účely definovaným v § 7 odst. 1 písm. f) zákon o Rozpočtových pravidel.</w:t>
            </w:r>
          </w:p>
          <w:p w14:paraId="42EFE56A" w14:textId="77777777" w:rsidR="00A100F4" w:rsidRDefault="00A100F4" w:rsidP="00667EC0">
            <w:pPr>
              <w:pStyle w:val="Odstavecseseznamem"/>
            </w:pPr>
          </w:p>
          <w:p w14:paraId="0840DCDE" w14:textId="77777777" w:rsidR="00A100F4" w:rsidRPr="00193497" w:rsidRDefault="00A100F4" w:rsidP="00A100F4">
            <w:pPr>
              <w:pStyle w:val="Odstavecseseznamem"/>
              <w:numPr>
                <w:ilvl w:val="0"/>
                <w:numId w:val="19"/>
              </w:numPr>
            </w:pPr>
            <w:r w:rsidRPr="00193497">
              <w:t>Vaší předběžnou žádostí o prodloužení termínu předložení žádosti o poskytnutí dotace se budeme zabývat.  Vyhovění uvedené žádosti musí být, ale rozhodnuto poskytovatelem dotací, a to ve prospěch všech žadatelů z důvodu transparentnosti rovných příležitostí pro všechny žadatelé.</w:t>
            </w:r>
          </w:p>
          <w:p w14:paraId="4DED9CCE" w14:textId="77777777" w:rsidR="00A100F4" w:rsidRDefault="00A100F4" w:rsidP="00FF4F50"/>
        </w:tc>
        <w:tc>
          <w:tcPr>
            <w:tcW w:w="1421" w:type="dxa"/>
          </w:tcPr>
          <w:p w14:paraId="2FA579BB" w14:textId="77777777" w:rsidR="00A100F4" w:rsidRDefault="00A100F4" w:rsidP="00667EC0">
            <w:pPr>
              <w:jc w:val="center"/>
              <w:rPr>
                <w:bCs/>
              </w:rPr>
            </w:pPr>
            <w:r>
              <w:rPr>
                <w:bCs/>
              </w:rPr>
              <w:t>20.4.2021</w:t>
            </w:r>
          </w:p>
          <w:p w14:paraId="7A3BCE2D" w14:textId="77777777" w:rsidR="00A100F4" w:rsidRDefault="00A100F4" w:rsidP="00667EC0">
            <w:pPr>
              <w:jc w:val="center"/>
              <w:rPr>
                <w:bCs/>
              </w:rPr>
            </w:pPr>
            <w:r>
              <w:rPr>
                <w:bCs/>
              </w:rPr>
              <w:t>emailem</w:t>
            </w:r>
          </w:p>
        </w:tc>
      </w:tr>
      <w:tr w:rsidR="00A100F4" w14:paraId="6F68FC9E" w14:textId="77777777" w:rsidTr="00667EC0">
        <w:trPr>
          <w:trHeight w:val="1686"/>
        </w:trPr>
        <w:tc>
          <w:tcPr>
            <w:tcW w:w="1828" w:type="dxa"/>
            <w:gridSpan w:val="2"/>
          </w:tcPr>
          <w:p w14:paraId="306A641C" w14:textId="77777777" w:rsidR="00A100F4" w:rsidRDefault="00A100F4" w:rsidP="00667EC0">
            <w:pPr>
              <w:jc w:val="center"/>
              <w:rPr>
                <w:bCs/>
              </w:rPr>
            </w:pPr>
            <w:r>
              <w:rPr>
                <w:bCs/>
              </w:rPr>
              <w:lastRenderedPageBreak/>
              <w:t>19.4.2021</w:t>
            </w:r>
          </w:p>
        </w:tc>
        <w:tc>
          <w:tcPr>
            <w:tcW w:w="4059" w:type="dxa"/>
            <w:gridSpan w:val="2"/>
          </w:tcPr>
          <w:p w14:paraId="7C8F415D" w14:textId="77777777" w:rsidR="00A100F4" w:rsidRDefault="00A100F4" w:rsidP="00667EC0">
            <w:r w:rsidRPr="00193497">
              <w:t>Dotaz týkající se subjektu žadatele</w:t>
            </w:r>
            <w:r>
              <w:t>:</w:t>
            </w:r>
          </w:p>
          <w:p w14:paraId="1ECB79A9" w14:textId="77777777" w:rsidR="00A100F4" w:rsidRDefault="00A100F4" w:rsidP="00667EC0">
            <w:r>
              <w:t xml:space="preserve">S poukazem na </w:t>
            </w:r>
            <w:r w:rsidRPr="003D0529">
              <w:t>komplexnost</w:t>
            </w:r>
            <w:r>
              <w:t xml:space="preserve"> projektu se jeví vhodné, aby na jeho realizaci spolupracovalo více subjektů s potřebnými kompetencemi (např. nevládní organizace a vzdělávací instituce, nebo více nevládních organizací).</w:t>
            </w:r>
          </w:p>
          <w:p w14:paraId="22313A1F" w14:textId="33DB4F37" w:rsidR="00A100F4" w:rsidRDefault="00A100F4" w:rsidP="00667EC0">
            <w:r>
              <w:t xml:space="preserve">Chtěl bych se v této souvislosti dotázat, zda může být žádost předložena více subjekty, z nichž jeden bude mít pozici hlavního řešitele-lídra a další budou mít roli partnerů v </w:t>
            </w:r>
            <w:proofErr w:type="spellStart"/>
            <w:r>
              <w:t>konzorciu</w:t>
            </w:r>
            <w:proofErr w:type="spellEnd"/>
            <w:r>
              <w:t xml:space="preserve"> (obdobně jako je to běžné v dotačních programech typu Horizont, LIFE, apod.), nebo zda musí být pouze jeden řešitel-právnická osoba a veškeří jednotlivci-experti být v zaměstnaneckém či obdobném vztahu k této právnické osobě.</w:t>
            </w:r>
          </w:p>
        </w:tc>
        <w:tc>
          <w:tcPr>
            <w:tcW w:w="7237" w:type="dxa"/>
            <w:gridSpan w:val="2"/>
          </w:tcPr>
          <w:p w14:paraId="558F7740" w14:textId="77777777" w:rsidR="00A100F4" w:rsidRPr="003D0529" w:rsidRDefault="00A100F4" w:rsidP="00A100F4">
            <w:pPr>
              <w:pStyle w:val="Odstavecseseznamem"/>
              <w:numPr>
                <w:ilvl w:val="0"/>
                <w:numId w:val="20"/>
              </w:numPr>
            </w:pPr>
            <w:r w:rsidRPr="003D0529">
              <w:t>Žadatelem o dotaci může být pouze jeden subjekt z okruhu oprávněných žadatelů o dotaci, který je uveden ve výzvě. Poskytovatel nepřipouští podání žádosti o dotaci ze strany konsorcií (sdružení žadatelů o dotaci). Ostatní subjekty/jednotlivci musí být v zaměstnaneckém poměru k žadateli, v pozici subdodavatele či jiném obdobném vztahu. Tzn. musí být jeden řešitel – právnická osoba.</w:t>
            </w:r>
          </w:p>
          <w:p w14:paraId="7BDEB0BB" w14:textId="77777777" w:rsidR="00A100F4" w:rsidRDefault="00A100F4" w:rsidP="00667EC0"/>
        </w:tc>
        <w:tc>
          <w:tcPr>
            <w:tcW w:w="1421" w:type="dxa"/>
          </w:tcPr>
          <w:p w14:paraId="292EF803" w14:textId="77777777" w:rsidR="00A100F4" w:rsidRDefault="00A100F4" w:rsidP="00667EC0">
            <w:pPr>
              <w:jc w:val="center"/>
              <w:rPr>
                <w:bCs/>
              </w:rPr>
            </w:pPr>
            <w:r>
              <w:rPr>
                <w:bCs/>
              </w:rPr>
              <w:t>20.4.2021</w:t>
            </w:r>
          </w:p>
          <w:p w14:paraId="09ED4B28" w14:textId="77777777" w:rsidR="00A100F4" w:rsidRDefault="00A100F4" w:rsidP="00667EC0">
            <w:pPr>
              <w:jc w:val="center"/>
              <w:rPr>
                <w:bCs/>
              </w:rPr>
            </w:pPr>
            <w:r>
              <w:rPr>
                <w:bCs/>
              </w:rPr>
              <w:t>emailem</w:t>
            </w:r>
          </w:p>
        </w:tc>
      </w:tr>
      <w:tr w:rsidR="00A100F4" w14:paraId="72860156" w14:textId="77777777" w:rsidTr="00667EC0">
        <w:trPr>
          <w:trHeight w:val="1686"/>
        </w:trPr>
        <w:tc>
          <w:tcPr>
            <w:tcW w:w="1828" w:type="dxa"/>
            <w:gridSpan w:val="2"/>
          </w:tcPr>
          <w:p w14:paraId="29B0375B" w14:textId="77777777" w:rsidR="00A100F4" w:rsidRPr="003D0529" w:rsidRDefault="00A100F4" w:rsidP="00A100F4">
            <w:pPr>
              <w:pStyle w:val="Odstavecseseznamem"/>
              <w:numPr>
                <w:ilvl w:val="0"/>
                <w:numId w:val="20"/>
              </w:numPr>
            </w:pPr>
            <w:r w:rsidRPr="003D0529">
              <w:t>19.4.2021</w:t>
            </w:r>
          </w:p>
        </w:tc>
        <w:tc>
          <w:tcPr>
            <w:tcW w:w="4059" w:type="dxa"/>
            <w:gridSpan w:val="2"/>
          </w:tcPr>
          <w:p w14:paraId="68485E92" w14:textId="77777777" w:rsidR="00A100F4" w:rsidRPr="003D0529" w:rsidRDefault="00A100F4" w:rsidP="00A100F4">
            <w:pPr>
              <w:pStyle w:val="Odstavecseseznamem"/>
              <w:numPr>
                <w:ilvl w:val="0"/>
                <w:numId w:val="20"/>
              </w:numPr>
            </w:pPr>
            <w:r w:rsidRPr="003D0529">
              <w:t xml:space="preserve">V rámci výše uvedené projektové výzvy bych rád ověřil jestli existuje nějaký limit (ať </w:t>
            </w:r>
            <w:proofErr w:type="spellStart"/>
            <w:r w:rsidRPr="003D0529">
              <w:t>uz</w:t>
            </w:r>
            <w:proofErr w:type="spellEnd"/>
            <w:r w:rsidRPr="003D0529">
              <w:t xml:space="preserve"> projektový nebo finanční) pro zapojení firmy do dané výzvy. Výzva jako taková je </w:t>
            </w:r>
            <w:proofErr w:type="spellStart"/>
            <w:r w:rsidRPr="003D0529">
              <w:t>nadimenzována</w:t>
            </w:r>
            <w:proofErr w:type="spellEnd"/>
            <w:r w:rsidRPr="003D0529">
              <w:t xml:space="preserve"> jako dodávka technického  vybaveni a další </w:t>
            </w:r>
            <w:proofErr w:type="spellStart"/>
            <w:r w:rsidRPr="003D0529">
              <w:t>softové</w:t>
            </w:r>
            <w:proofErr w:type="spellEnd"/>
            <w:r w:rsidRPr="003D0529">
              <w:t xml:space="preserve"> komponenty což určitě vítáme. Rádi bychom jako subdodavatele přizvali konkrétní firmu. Spatřujete v tomto </w:t>
            </w:r>
            <w:proofErr w:type="spellStart"/>
            <w:r w:rsidRPr="003D0529">
              <w:t>přítupu</w:t>
            </w:r>
            <w:proofErr w:type="spellEnd"/>
            <w:r w:rsidRPr="003D0529">
              <w:t xml:space="preserve"> nějaký potenciální problém?</w:t>
            </w:r>
          </w:p>
          <w:p w14:paraId="3B60EFF0" w14:textId="77777777" w:rsidR="00A100F4" w:rsidRDefault="00A100F4" w:rsidP="00667EC0">
            <w:pPr>
              <w:pStyle w:val="Odstavecseseznamem"/>
            </w:pPr>
          </w:p>
        </w:tc>
        <w:tc>
          <w:tcPr>
            <w:tcW w:w="7237" w:type="dxa"/>
            <w:gridSpan w:val="2"/>
          </w:tcPr>
          <w:p w14:paraId="10E1AF6B" w14:textId="77777777" w:rsidR="00A100F4" w:rsidRPr="003D0529" w:rsidRDefault="00A100F4" w:rsidP="00A100F4">
            <w:pPr>
              <w:pStyle w:val="Odstavecseseznamem"/>
              <w:numPr>
                <w:ilvl w:val="0"/>
                <w:numId w:val="20"/>
              </w:numPr>
            </w:pPr>
            <w:r w:rsidRPr="003D0529">
              <w:t>Příjemce dotace vystupuje v určitých situacích v postavení tzv. dotovaného zadavatele, který při zadávání veřejných zakázek musí postupovat podle ustanovení Zákona č. 134/2016 Sb., o zadávání veřejných zakázek, ve znění pozdějších předpisů (ZZVZ).</w:t>
            </w:r>
          </w:p>
          <w:p w14:paraId="3D135E8F" w14:textId="77777777" w:rsidR="00A100F4" w:rsidRPr="003D0529" w:rsidRDefault="00A100F4" w:rsidP="00667EC0">
            <w:pPr>
              <w:pStyle w:val="Odstavecseseznamem"/>
            </w:pPr>
          </w:p>
          <w:p w14:paraId="2B1F60C1" w14:textId="77777777" w:rsidR="00A100F4" w:rsidRPr="003D0529" w:rsidRDefault="00A100F4" w:rsidP="00667EC0">
            <w:pPr>
              <w:pStyle w:val="Odstavecseseznamem"/>
            </w:pPr>
            <w:r w:rsidRPr="003D0529">
              <w:t>Poskytovatel dotace, tj. Česká rozvojová agentura (ČRA), je jakožto organizační složka státu veřejným zadavatelem. Finanční prostředky, které příjemce dotace obdrží od ČRA na základě Rozhodnutí o poskytnutí dotace, jsou tedy peněžními prostředky z rozpočtu veřejného zadavatele.</w:t>
            </w:r>
          </w:p>
          <w:p w14:paraId="6DCF868E" w14:textId="77777777" w:rsidR="00A100F4" w:rsidRPr="003D0529" w:rsidRDefault="00A100F4" w:rsidP="00667EC0">
            <w:pPr>
              <w:pStyle w:val="Odstavecseseznamem"/>
            </w:pPr>
          </w:p>
          <w:p w14:paraId="4D69E980" w14:textId="77777777" w:rsidR="00A100F4" w:rsidRPr="003D0529" w:rsidRDefault="00A100F4" w:rsidP="00667EC0">
            <w:pPr>
              <w:pStyle w:val="Odstavecseseznamem"/>
            </w:pPr>
            <w:r w:rsidRPr="003D0529">
              <w:t xml:space="preserve">V souladu s § 4 odst. 2 ZZVZ je zadavatelem rovněž osoba, která k úhradě nadlimitní nebo podlimitní veřejné zakázky použije více než 50 </w:t>
            </w:r>
            <w:r w:rsidRPr="003D0529">
              <w:lastRenderedPageBreak/>
              <w:t>% peněžních prostředků, poskytnutých z rozpočtu veřejného zadavatele. (Nadlimitní a podlimitní veřejné zakázky jsou zakázky s předpokládanou hodnotou nad 2 mil. Kč bez DPH u dodávek a služeb a nad 6 mil. Kč bez DPH u stavebních prací).</w:t>
            </w:r>
          </w:p>
          <w:p w14:paraId="732FAD56" w14:textId="77777777" w:rsidR="00A100F4" w:rsidRPr="003D0529" w:rsidRDefault="00A100F4" w:rsidP="00667EC0">
            <w:pPr>
              <w:pStyle w:val="Odstavecseseznamem"/>
            </w:pPr>
          </w:p>
          <w:p w14:paraId="0025E156" w14:textId="7E99FC37" w:rsidR="00FF4F50" w:rsidRDefault="00A100F4" w:rsidP="00FF4F50">
            <w:pPr>
              <w:pStyle w:val="Odstavecseseznamem"/>
            </w:pPr>
            <w:r w:rsidRPr="003D0529">
              <w:t>Pokud by tedy např. příjemce dotace chtěl uzavřít smlouvu s jiným subjektem na zajištění subdodávek pro realizaci dotace, v hodnotě nad 2 mil. Kč bez DPH, a tento výdaj by z více než 50 % hradil z prostředků poskytnutých ČRA, musel by nejprve realizovat zadávací řízení podle ZZVZ. V případě zakázky malého rozsahu (do 2 mil. Kč) zadává příjemce dotace zakázku v souladu se základními zásadami zadávání veřejných zakázek dle § 6 ZZVZ (transparentně, přiměřeně, se zásadou rovného zacházení a se zákazem diskriminace), a to dle svých interních předpisů.</w:t>
            </w:r>
            <w:r>
              <w:t>“</w:t>
            </w:r>
          </w:p>
        </w:tc>
        <w:tc>
          <w:tcPr>
            <w:tcW w:w="1421" w:type="dxa"/>
          </w:tcPr>
          <w:p w14:paraId="4842560A" w14:textId="77777777" w:rsidR="00A100F4" w:rsidRPr="003D0529" w:rsidRDefault="00A100F4" w:rsidP="00667EC0">
            <w:pPr>
              <w:jc w:val="center"/>
              <w:rPr>
                <w:bCs/>
              </w:rPr>
            </w:pPr>
            <w:r w:rsidRPr="003D0529">
              <w:rPr>
                <w:bCs/>
              </w:rPr>
              <w:lastRenderedPageBreak/>
              <w:t>21.4.2021</w:t>
            </w:r>
          </w:p>
          <w:p w14:paraId="33EBA782" w14:textId="77777777" w:rsidR="00A100F4" w:rsidRPr="003D0529" w:rsidRDefault="00A100F4" w:rsidP="00667EC0">
            <w:pPr>
              <w:jc w:val="center"/>
              <w:rPr>
                <w:bCs/>
              </w:rPr>
            </w:pPr>
            <w:r w:rsidRPr="003D0529">
              <w:rPr>
                <w:bCs/>
              </w:rPr>
              <w:t>emailem</w:t>
            </w:r>
          </w:p>
        </w:tc>
      </w:tr>
      <w:tr w:rsidR="00A100F4" w14:paraId="27F1B567" w14:textId="77777777" w:rsidTr="00667EC0">
        <w:trPr>
          <w:trHeight w:val="1686"/>
        </w:trPr>
        <w:tc>
          <w:tcPr>
            <w:tcW w:w="1828" w:type="dxa"/>
            <w:gridSpan w:val="2"/>
          </w:tcPr>
          <w:p w14:paraId="19EE3BA7" w14:textId="77777777" w:rsidR="00A100F4" w:rsidRPr="003D0529" w:rsidRDefault="00A100F4" w:rsidP="00667EC0">
            <w:pPr>
              <w:pStyle w:val="Odstavecseseznamem"/>
            </w:pPr>
            <w:r>
              <w:t>21.4.2021</w:t>
            </w:r>
          </w:p>
        </w:tc>
        <w:tc>
          <w:tcPr>
            <w:tcW w:w="4059" w:type="dxa"/>
            <w:gridSpan w:val="2"/>
          </w:tcPr>
          <w:p w14:paraId="63732F70" w14:textId="77777777" w:rsidR="00A100F4" w:rsidRPr="003D0529" w:rsidRDefault="00A100F4" w:rsidP="00667EC0">
            <w:pPr>
              <w:pStyle w:val="Odstavecseseznamem"/>
            </w:pPr>
            <w:r w:rsidRPr="00A100F4">
              <w:t>Dotaz týkající se maximální výše zakoupeného majetku, není nám zcela jasné, zda se hranice 80 tisíc vztahuje na veškerý zakoupený majetek, nebo je možné vybavit příjemce pomoci například i potřebným svozovým vozem a podobně.</w:t>
            </w:r>
          </w:p>
        </w:tc>
        <w:tc>
          <w:tcPr>
            <w:tcW w:w="7237" w:type="dxa"/>
            <w:gridSpan w:val="2"/>
          </w:tcPr>
          <w:p w14:paraId="71A8EFD5" w14:textId="06C83ED3" w:rsidR="00A100F4" w:rsidRPr="003D0529" w:rsidRDefault="00A100F4" w:rsidP="00667EC0">
            <w:r w:rsidRPr="003D0529">
              <w:t>V dokumentu Posuzování uznatelných výdajů a v souladu s touto výzvou je uvedeno, že celkové způsobilé výdaje hrazené z dotace musí být v rámci projektu použity na realizaci neinvestičních aktivit vytvořených vlastní činností žadatele/konečného příjemce a jeho partnerů, na externí pořízení dodávek a spotřebního materiálu, které budou souviset s realizací projektu, a které nespadají do skupiny odepisovaného dlouhodobého hm. majetku -  Vymezení pojmu dlouhodobý hmotný a nehmotný odepisovaný majetek a jeho ocenění pro účely zákona o daních z příjmu a stanovení daňových odpisů je upraveno prostřednictvím § 26 a § 32a zákona č. 586/1992 Sb., o daních z příjmu, ve znění pozdějších předpisů. Neuznatelné výdaje projektu (zdroj financování z dotace) na pořízení dlouhodobého hmotného odepisovaného majetku – investiční povahy - samostatné movité věci, případně soubory movitých věcí se samostatným </w:t>
            </w:r>
            <w:proofErr w:type="spellStart"/>
            <w:r w:rsidRPr="003D0529">
              <w:t>technicko-ekonomickým</w:t>
            </w:r>
            <w:proofErr w:type="spellEnd"/>
            <w:r w:rsidRPr="003D0529">
              <w:t> určením, jejichž vstupní cena je vyšší než 80 000 Kč bez DPH (za ks) a provozně-technická funkce delší než 1 rok, včetně budov, bytů, nebytových prostor a staveb, jiný majetek (např. technické zhodnocení). </w:t>
            </w:r>
          </w:p>
        </w:tc>
        <w:tc>
          <w:tcPr>
            <w:tcW w:w="1421" w:type="dxa"/>
          </w:tcPr>
          <w:p w14:paraId="7905A986" w14:textId="77777777" w:rsidR="00A100F4" w:rsidRDefault="00A100F4" w:rsidP="00667EC0">
            <w:pPr>
              <w:jc w:val="center"/>
              <w:rPr>
                <w:bCs/>
              </w:rPr>
            </w:pPr>
            <w:r>
              <w:rPr>
                <w:bCs/>
              </w:rPr>
              <w:t>21.4.2021</w:t>
            </w:r>
          </w:p>
          <w:p w14:paraId="6945704A" w14:textId="77777777" w:rsidR="00A100F4" w:rsidRPr="003D0529" w:rsidRDefault="00A100F4" w:rsidP="00667EC0">
            <w:pPr>
              <w:jc w:val="center"/>
              <w:rPr>
                <w:bCs/>
              </w:rPr>
            </w:pPr>
            <w:r>
              <w:rPr>
                <w:bCs/>
              </w:rPr>
              <w:t>emailem</w:t>
            </w:r>
          </w:p>
        </w:tc>
      </w:tr>
      <w:tr w:rsidR="00EC320B" w14:paraId="517DC640" w14:textId="77777777" w:rsidTr="00667EC0">
        <w:trPr>
          <w:trHeight w:val="1686"/>
        </w:trPr>
        <w:tc>
          <w:tcPr>
            <w:tcW w:w="1828" w:type="dxa"/>
            <w:gridSpan w:val="2"/>
          </w:tcPr>
          <w:p w14:paraId="7BC5D7EA" w14:textId="71CBE58D" w:rsidR="00EC320B" w:rsidRDefault="00EC320B" w:rsidP="00667EC0">
            <w:pPr>
              <w:pStyle w:val="Odstavecseseznamem"/>
            </w:pPr>
            <w:r>
              <w:lastRenderedPageBreak/>
              <w:t>22.4.2021</w:t>
            </w:r>
          </w:p>
        </w:tc>
        <w:tc>
          <w:tcPr>
            <w:tcW w:w="4059" w:type="dxa"/>
            <w:gridSpan w:val="2"/>
          </w:tcPr>
          <w:p w14:paraId="6FF927B6" w14:textId="5504AC43" w:rsidR="00EC320B" w:rsidRPr="00A100F4" w:rsidRDefault="00EC320B" w:rsidP="00667EC0">
            <w:pPr>
              <w:pStyle w:val="Odstavecseseznamem"/>
            </w:pPr>
            <w:r w:rsidRPr="00EC320B">
              <w:rPr>
                <w:rFonts w:ascii="Calibri" w:hAnsi="Calibri" w:cs="Calibri"/>
                <w:shd w:val="clear" w:color="auto" w:fill="FFFFFF"/>
              </w:rPr>
              <w:t>Zboží zakoupené příjemcem dotace by tedy mělo dosáhnout maximálně výše 80.000 Kč za kus. Nákladnější zboží, které se nestane majetkem příjemce dotace a bude převedeno rovnou na příjemce pomoci, je možné zakoupit, a to prostřednictvím subdodavatele. Je tento výklad správný?</w:t>
            </w:r>
          </w:p>
        </w:tc>
        <w:tc>
          <w:tcPr>
            <w:tcW w:w="7237" w:type="dxa"/>
            <w:gridSpan w:val="2"/>
          </w:tcPr>
          <w:p w14:paraId="6F3292AD" w14:textId="6F3F0D9B" w:rsidR="00EC320B" w:rsidRPr="00EC320B" w:rsidRDefault="00EC320B" w:rsidP="00EC320B">
            <w:pPr>
              <w:shd w:val="clear" w:color="auto" w:fill="FFFFFF"/>
              <w:spacing w:line="240" w:lineRule="auto"/>
              <w:textAlignment w:val="baseline"/>
              <w:rPr>
                <w:rFonts w:ascii="Calibri" w:eastAsia="Times New Roman" w:hAnsi="Calibri" w:cs="Calibri"/>
                <w:color w:val="000000"/>
                <w:sz w:val="24"/>
                <w:szCs w:val="24"/>
                <w:lang w:eastAsia="cs-CZ"/>
              </w:rPr>
            </w:pPr>
            <w:r>
              <w:rPr>
                <w:rFonts w:ascii="Calibri" w:eastAsia="Times New Roman" w:hAnsi="Calibri" w:cs="Calibri"/>
                <w:color w:val="000000"/>
                <w:bdr w:val="none" w:sz="0" w:space="0" w:color="auto" w:frame="1"/>
                <w:shd w:val="clear" w:color="auto" w:fill="FFFFFF"/>
                <w:lang w:eastAsia="cs-CZ"/>
              </w:rPr>
              <w:t>V</w:t>
            </w:r>
            <w:r w:rsidRPr="00EC320B">
              <w:rPr>
                <w:rFonts w:ascii="Calibri" w:eastAsia="Times New Roman" w:hAnsi="Calibri" w:cs="Calibri"/>
                <w:color w:val="000000"/>
                <w:bdr w:val="none" w:sz="0" w:space="0" w:color="auto" w:frame="1"/>
                <w:shd w:val="clear" w:color="auto" w:fill="FFFFFF"/>
                <w:lang w:eastAsia="cs-CZ"/>
              </w:rPr>
              <w:t> dokumentu Posuzování uznatelných výdajů a v souladu s touto výzvou je uvedeno, že </w:t>
            </w:r>
            <w:r w:rsidRPr="00EC320B">
              <w:rPr>
                <w:rFonts w:ascii="Calibri" w:eastAsia="Times New Roman" w:hAnsi="Calibri" w:cs="Calibri"/>
                <w:b/>
                <w:bCs/>
                <w:color w:val="000000"/>
                <w:bdr w:val="none" w:sz="0" w:space="0" w:color="auto" w:frame="1"/>
                <w:shd w:val="clear" w:color="auto" w:fill="FFFFFF"/>
                <w:lang w:eastAsia="cs-CZ"/>
              </w:rPr>
              <w:t>celkové způsobilé (uznatelné) výdaje hrazené z dotace</w:t>
            </w:r>
            <w:r w:rsidRPr="00EC320B">
              <w:rPr>
                <w:rFonts w:ascii="Calibri" w:eastAsia="Times New Roman" w:hAnsi="Calibri" w:cs="Calibri"/>
                <w:color w:val="000000"/>
                <w:bdr w:val="none" w:sz="0" w:space="0" w:color="auto" w:frame="1"/>
                <w:shd w:val="clear" w:color="auto" w:fill="FFFFFF"/>
                <w:lang w:eastAsia="cs-CZ"/>
              </w:rPr>
              <w:t> </w:t>
            </w:r>
            <w:r w:rsidRPr="00EC320B">
              <w:rPr>
                <w:rFonts w:ascii="Calibri" w:eastAsia="Times New Roman" w:hAnsi="Calibri" w:cs="Calibri"/>
                <w:b/>
                <w:bCs/>
                <w:color w:val="000000"/>
                <w:bdr w:val="none" w:sz="0" w:space="0" w:color="auto" w:frame="1"/>
                <w:shd w:val="clear" w:color="auto" w:fill="FFFFFF"/>
                <w:lang w:eastAsia="cs-CZ"/>
              </w:rPr>
              <w:t>SR </w:t>
            </w:r>
            <w:r w:rsidRPr="00EC320B">
              <w:rPr>
                <w:rFonts w:ascii="Calibri" w:eastAsia="Times New Roman" w:hAnsi="Calibri" w:cs="Calibri"/>
                <w:color w:val="000000"/>
                <w:bdr w:val="none" w:sz="0" w:space="0" w:color="auto" w:frame="1"/>
                <w:shd w:val="clear" w:color="auto" w:fill="FFFFFF"/>
                <w:lang w:eastAsia="cs-CZ"/>
              </w:rPr>
              <w:t>musí být v rámci projektu použity na realizaci neinvestičních aktivit vytvořených vlastní činností žadatele/konečného příjemce a jeho partnerů, na externí pořízení dodávek a spotřebního materiálu, které budou souviset s realizací projektu, a které nespadají do skupiny odepisovaného dlouhodobého hm. majetku.</w:t>
            </w:r>
          </w:p>
          <w:p w14:paraId="0231F34F" w14:textId="60F9F382" w:rsidR="00EC320B" w:rsidRPr="00EC320B" w:rsidRDefault="00EC320B" w:rsidP="00EC320B">
            <w:pPr>
              <w:shd w:val="clear" w:color="auto" w:fill="FFFFFF"/>
              <w:spacing w:line="240" w:lineRule="auto"/>
              <w:textAlignment w:val="baseline"/>
              <w:rPr>
                <w:rFonts w:ascii="Calibri" w:eastAsia="Times New Roman" w:hAnsi="Calibri" w:cs="Calibri"/>
                <w:color w:val="000000"/>
                <w:sz w:val="24"/>
                <w:szCs w:val="24"/>
                <w:lang w:eastAsia="cs-CZ"/>
              </w:rPr>
            </w:pPr>
          </w:p>
          <w:p w14:paraId="44756D20" w14:textId="6FFFBA56" w:rsidR="00EC320B" w:rsidRPr="00EC320B" w:rsidRDefault="00EC320B" w:rsidP="00EC320B">
            <w:pPr>
              <w:shd w:val="clear" w:color="auto" w:fill="FFFFFF"/>
              <w:spacing w:line="240" w:lineRule="auto"/>
              <w:textAlignment w:val="baseline"/>
              <w:rPr>
                <w:rFonts w:ascii="Calibri" w:eastAsia="Times New Roman" w:hAnsi="Calibri" w:cs="Calibri"/>
                <w:color w:val="000000"/>
                <w:sz w:val="24"/>
                <w:szCs w:val="24"/>
                <w:lang w:eastAsia="cs-CZ"/>
              </w:rPr>
            </w:pPr>
            <w:r w:rsidRPr="00EC320B">
              <w:rPr>
                <w:rFonts w:ascii="Calibri" w:eastAsia="Times New Roman" w:hAnsi="Calibri" w:cs="Calibri"/>
                <w:color w:val="000000"/>
                <w:bdr w:val="none" w:sz="0" w:space="0" w:color="auto" w:frame="1"/>
                <w:shd w:val="clear" w:color="auto" w:fill="FFFFFF"/>
                <w:lang w:eastAsia="cs-CZ"/>
              </w:rPr>
              <w:t>Je zde samozřejmě stanovena i min. povinnost vložit do projektu </w:t>
            </w:r>
            <w:r w:rsidRPr="00EC320B">
              <w:rPr>
                <w:rFonts w:ascii="Calibri" w:eastAsia="Times New Roman" w:hAnsi="Calibri" w:cs="Calibri"/>
                <w:b/>
                <w:bCs/>
                <w:color w:val="000000"/>
                <w:bdr w:val="none" w:sz="0" w:space="0" w:color="auto" w:frame="1"/>
                <w:shd w:val="clear" w:color="auto" w:fill="FFFFFF"/>
                <w:lang w:eastAsia="cs-CZ"/>
              </w:rPr>
              <w:t>vlastní/jiné zdroje financování</w:t>
            </w:r>
            <w:r w:rsidRPr="00EC320B">
              <w:rPr>
                <w:rFonts w:ascii="Calibri" w:eastAsia="Times New Roman" w:hAnsi="Calibri" w:cs="Calibri"/>
                <w:color w:val="000000"/>
                <w:bdr w:val="none" w:sz="0" w:space="0" w:color="auto" w:frame="1"/>
                <w:shd w:val="clear" w:color="auto" w:fill="FFFFFF"/>
                <w:lang w:eastAsia="cs-CZ"/>
              </w:rPr>
              <w:t> než jen použít k financování prostředky SR poskytnutých z dotace ČRA. Z těchto </w:t>
            </w:r>
            <w:r w:rsidRPr="00EC320B">
              <w:rPr>
                <w:rFonts w:ascii="Calibri" w:eastAsia="Times New Roman" w:hAnsi="Calibri" w:cs="Calibri"/>
                <w:b/>
                <w:bCs/>
                <w:color w:val="000000"/>
                <w:bdr w:val="none" w:sz="0" w:space="0" w:color="auto" w:frame="1"/>
                <w:shd w:val="clear" w:color="auto" w:fill="FFFFFF"/>
                <w:lang w:eastAsia="cs-CZ"/>
              </w:rPr>
              <w:t>dodatečných jiných zdrojů</w:t>
            </w:r>
            <w:r w:rsidRPr="00EC320B">
              <w:rPr>
                <w:rFonts w:ascii="Calibri" w:eastAsia="Times New Roman" w:hAnsi="Calibri" w:cs="Calibri"/>
                <w:color w:val="000000"/>
                <w:bdr w:val="none" w:sz="0" w:space="0" w:color="auto" w:frame="1"/>
                <w:shd w:val="clear" w:color="auto" w:fill="FFFFFF"/>
                <w:lang w:eastAsia="cs-CZ"/>
              </w:rPr>
              <w:t xml:space="preserve"> (vlastní spolufinancování - min. výše </w:t>
            </w:r>
            <w:proofErr w:type="spellStart"/>
            <w:r w:rsidRPr="00EC320B">
              <w:rPr>
                <w:rFonts w:ascii="Calibri" w:eastAsia="Times New Roman" w:hAnsi="Calibri" w:cs="Calibri"/>
                <w:color w:val="000000"/>
                <w:bdr w:val="none" w:sz="0" w:space="0" w:color="auto" w:frame="1"/>
                <w:shd w:val="clear" w:color="auto" w:fill="FFFFFF"/>
                <w:lang w:eastAsia="cs-CZ"/>
              </w:rPr>
              <w:t>kofinanc</w:t>
            </w:r>
            <w:proofErr w:type="spellEnd"/>
            <w:r w:rsidRPr="00EC320B">
              <w:rPr>
                <w:rFonts w:ascii="Calibri" w:eastAsia="Times New Roman" w:hAnsi="Calibri" w:cs="Calibri"/>
                <w:color w:val="000000"/>
                <w:bdr w:val="none" w:sz="0" w:space="0" w:color="auto" w:frame="1"/>
                <w:shd w:val="clear" w:color="auto" w:fill="FFFFFF"/>
                <w:lang w:eastAsia="cs-CZ"/>
              </w:rPr>
              <w:t xml:space="preserve"> je ze strany poskytovatele stanovena na 5% z celkových nákladů, což v případě této výzvy na celou dobu realizace projektu odpovídá min. částce ve výši 1.500.000 Kč z celkové alokace na dotační podporu projektu), </w:t>
            </w:r>
            <w:r w:rsidRPr="00EC320B">
              <w:rPr>
                <w:rFonts w:ascii="Calibri" w:eastAsia="Times New Roman" w:hAnsi="Calibri" w:cs="Calibri"/>
                <w:b/>
                <w:bCs/>
                <w:color w:val="000000"/>
                <w:bdr w:val="none" w:sz="0" w:space="0" w:color="auto" w:frame="1"/>
                <w:shd w:val="clear" w:color="auto" w:fill="FFFFFF"/>
                <w:lang w:eastAsia="cs-CZ"/>
              </w:rPr>
              <w:t xml:space="preserve">pokud tento poměr </w:t>
            </w:r>
            <w:proofErr w:type="spellStart"/>
            <w:r w:rsidRPr="00EC320B">
              <w:rPr>
                <w:rFonts w:ascii="Calibri" w:eastAsia="Times New Roman" w:hAnsi="Calibri" w:cs="Calibri"/>
                <w:b/>
                <w:bCs/>
                <w:color w:val="000000"/>
                <w:bdr w:val="none" w:sz="0" w:space="0" w:color="auto" w:frame="1"/>
                <w:shd w:val="clear" w:color="auto" w:fill="FFFFFF"/>
                <w:lang w:eastAsia="cs-CZ"/>
              </w:rPr>
              <w:t>kofinanc</w:t>
            </w:r>
            <w:proofErr w:type="spellEnd"/>
            <w:r w:rsidRPr="00EC320B">
              <w:rPr>
                <w:rFonts w:ascii="Calibri" w:eastAsia="Times New Roman" w:hAnsi="Calibri" w:cs="Calibri"/>
                <w:b/>
                <w:bCs/>
                <w:color w:val="000000"/>
                <w:bdr w:val="none" w:sz="0" w:space="0" w:color="auto" w:frame="1"/>
                <w:shd w:val="clear" w:color="auto" w:fill="FFFFFF"/>
                <w:lang w:eastAsia="cs-CZ"/>
              </w:rPr>
              <w:t xml:space="preserve"> adekvátně navýšíte </w:t>
            </w:r>
            <w:r w:rsidRPr="00EC320B">
              <w:rPr>
                <w:rFonts w:ascii="Calibri" w:eastAsia="Times New Roman" w:hAnsi="Calibri" w:cs="Calibri"/>
                <w:color w:val="000000"/>
                <w:bdr w:val="none" w:sz="0" w:space="0" w:color="auto" w:frame="1"/>
                <w:shd w:val="clear" w:color="auto" w:fill="FFFFFF"/>
                <w:lang w:eastAsia="cs-CZ"/>
              </w:rPr>
              <w:t>s ohledem na Vámi uvedenou potřebu (pořízení nákladnějšího vybavení), musíte vše následně finančně specifikovat v žádosti o dotaci Rozpočet kap. 8 a dále popsat zapojení cizích zdrojů v projektovém dokumentu, potažmo i začlenit položkově do rozpočtu s jasnou, srozumitelnou a konkrétní identifikací, že se jedná o pokrytí </w:t>
            </w:r>
            <w:r w:rsidRPr="00EC320B">
              <w:rPr>
                <w:rFonts w:ascii="Calibri" w:eastAsia="Times New Roman" w:hAnsi="Calibri" w:cs="Calibri"/>
                <w:b/>
                <w:bCs/>
                <w:color w:val="000000"/>
                <w:bdr w:val="none" w:sz="0" w:space="0" w:color="auto" w:frame="1"/>
                <w:shd w:val="clear" w:color="auto" w:fill="FFFFFF"/>
                <w:lang w:eastAsia="cs-CZ"/>
              </w:rPr>
              <w:t>z jiných zdrojů </w:t>
            </w:r>
            <w:r w:rsidRPr="00EC320B">
              <w:rPr>
                <w:rFonts w:ascii="Calibri" w:eastAsia="Times New Roman" w:hAnsi="Calibri" w:cs="Calibri"/>
                <w:color w:val="000000"/>
                <w:bdr w:val="none" w:sz="0" w:space="0" w:color="auto" w:frame="1"/>
                <w:shd w:val="clear" w:color="auto" w:fill="FFFFFF"/>
                <w:lang w:eastAsia="cs-CZ"/>
              </w:rPr>
              <w:t>těchto </w:t>
            </w:r>
            <w:r w:rsidRPr="00EC320B">
              <w:rPr>
                <w:rFonts w:ascii="Calibri" w:eastAsia="Times New Roman" w:hAnsi="Calibri" w:cs="Calibri"/>
                <w:b/>
                <w:bCs/>
                <w:color w:val="000000"/>
                <w:bdr w:val="none" w:sz="0" w:space="0" w:color="auto" w:frame="1"/>
                <w:shd w:val="clear" w:color="auto" w:fill="FFFFFF"/>
                <w:lang w:eastAsia="cs-CZ"/>
              </w:rPr>
              <w:t>neuznatelných výdajů</w:t>
            </w:r>
            <w:r w:rsidRPr="00EC320B">
              <w:rPr>
                <w:rFonts w:ascii="Calibri" w:eastAsia="Times New Roman" w:hAnsi="Calibri" w:cs="Calibri"/>
                <w:color w:val="000000"/>
                <w:bdr w:val="none" w:sz="0" w:space="0" w:color="auto" w:frame="1"/>
                <w:shd w:val="clear" w:color="auto" w:fill="FFFFFF"/>
                <w:lang w:eastAsia="cs-CZ"/>
              </w:rPr>
              <w:t>, lze samozřejmě navrhnout v projektovém záměru pořízení dodávek dražšího vybavení, které </w:t>
            </w:r>
            <w:r w:rsidRPr="00EC320B">
              <w:rPr>
                <w:rFonts w:ascii="Calibri" w:eastAsia="Times New Roman" w:hAnsi="Calibri" w:cs="Calibri"/>
                <w:b/>
                <w:bCs/>
                <w:color w:val="000000"/>
                <w:bdr w:val="none" w:sz="0" w:space="0" w:color="auto" w:frame="1"/>
                <w:shd w:val="clear" w:color="auto" w:fill="FFFFFF"/>
                <w:lang w:eastAsia="cs-CZ"/>
              </w:rPr>
              <w:t>bude plně hrazeno právě z těchto jiných zdrojů financování </w:t>
            </w:r>
            <w:r w:rsidRPr="00EC320B">
              <w:rPr>
                <w:rFonts w:ascii="Calibri" w:eastAsia="Times New Roman" w:hAnsi="Calibri" w:cs="Calibri"/>
                <w:color w:val="000000"/>
                <w:bdr w:val="none" w:sz="0" w:space="0" w:color="auto" w:frame="1"/>
                <w:shd w:val="clear" w:color="auto" w:fill="FFFFFF"/>
                <w:lang w:eastAsia="cs-CZ"/>
              </w:rPr>
              <w:t>a zároveň souviset s realizací projektu, a bude výsledně spadat do skupiny dl. hm. majetku tzn., že převýší cenu 80 tis/Kč bez DPH na 1 kus.</w:t>
            </w:r>
          </w:p>
        </w:tc>
        <w:tc>
          <w:tcPr>
            <w:tcW w:w="1421" w:type="dxa"/>
          </w:tcPr>
          <w:p w14:paraId="1031B399" w14:textId="62AFEF99" w:rsidR="00EC320B" w:rsidRDefault="00EC320B" w:rsidP="00EC320B">
            <w:pPr>
              <w:jc w:val="center"/>
              <w:rPr>
                <w:bCs/>
              </w:rPr>
            </w:pPr>
            <w:r>
              <w:rPr>
                <w:bCs/>
              </w:rPr>
              <w:t>22.4.2021</w:t>
            </w:r>
          </w:p>
          <w:p w14:paraId="67E82FC7" w14:textId="5DC3A13D" w:rsidR="00EC320B" w:rsidRDefault="00EC320B" w:rsidP="00EC320B">
            <w:pPr>
              <w:jc w:val="center"/>
              <w:rPr>
                <w:bCs/>
              </w:rPr>
            </w:pPr>
            <w:r>
              <w:rPr>
                <w:bCs/>
              </w:rPr>
              <w:t>emailem</w:t>
            </w:r>
          </w:p>
        </w:tc>
      </w:tr>
      <w:tr w:rsidR="001A632B" w14:paraId="69AE8941" w14:textId="77777777" w:rsidTr="00667EC0">
        <w:trPr>
          <w:trHeight w:val="1686"/>
        </w:trPr>
        <w:tc>
          <w:tcPr>
            <w:tcW w:w="1828" w:type="dxa"/>
            <w:gridSpan w:val="2"/>
          </w:tcPr>
          <w:p w14:paraId="6EBB4BFC" w14:textId="58A1D6A0" w:rsidR="001A632B" w:rsidRDefault="001A632B" w:rsidP="00667EC0">
            <w:pPr>
              <w:pStyle w:val="Odstavecseseznamem"/>
            </w:pPr>
            <w:r>
              <w:t>29.4.2021</w:t>
            </w:r>
          </w:p>
        </w:tc>
        <w:tc>
          <w:tcPr>
            <w:tcW w:w="4059" w:type="dxa"/>
            <w:gridSpan w:val="2"/>
          </w:tcPr>
          <w:p w14:paraId="38760DB0" w14:textId="77777777" w:rsidR="001A632B" w:rsidRDefault="001A632B" w:rsidP="001A632B">
            <w:pPr>
              <w:spacing w:before="100" w:beforeAutospacing="1" w:after="100" w:afterAutospacing="1"/>
            </w:pPr>
            <w:r>
              <w:t>Dodávka vybavení bude, vzhledem k rozpočtovým omezením, realizována průběžně – tj. vždy minimálně jedna v každém kalendářním roce projektu. Výběrové řízení na dodavatele může být teoreticky realizováno buď jedno, pokrývající dodávky ve všech letech, nebo každý rok samostatné výběrové řízení.</w:t>
            </w:r>
          </w:p>
          <w:p w14:paraId="23F7F3FA" w14:textId="77777777" w:rsidR="001A632B" w:rsidRDefault="001A632B" w:rsidP="001A632B">
            <w:pPr>
              <w:spacing w:before="100" w:beforeAutospacing="1" w:after="100" w:afterAutospacing="1"/>
            </w:pPr>
            <w:r>
              <w:lastRenderedPageBreak/>
              <w:t>Dotaz směřuje k tomu, zda je první varianta možná – vzhledem ke skutečnosti, že na začátku není přidělena celá dotace, ale je přidělována na každý rok zvlášť. (Tj. jestli je to čistě na řešiteli, jaký způsob zvolí, nebo zda forma postupného přidělování dotace první variantu vylučuje.)</w:t>
            </w:r>
          </w:p>
          <w:p w14:paraId="225EE528" w14:textId="77777777" w:rsidR="001A632B" w:rsidRPr="00EC320B" w:rsidRDefault="001A632B" w:rsidP="00667EC0">
            <w:pPr>
              <w:pStyle w:val="Odstavecseseznamem"/>
              <w:rPr>
                <w:rFonts w:ascii="Calibri" w:hAnsi="Calibri" w:cs="Calibri"/>
                <w:shd w:val="clear" w:color="auto" w:fill="FFFFFF"/>
              </w:rPr>
            </w:pPr>
          </w:p>
        </w:tc>
        <w:tc>
          <w:tcPr>
            <w:tcW w:w="7237" w:type="dxa"/>
            <w:gridSpan w:val="2"/>
          </w:tcPr>
          <w:p w14:paraId="461A9C5B" w14:textId="77777777" w:rsidR="001A632B" w:rsidRPr="001A632B" w:rsidRDefault="001A632B" w:rsidP="001A632B">
            <w:pPr>
              <w:pStyle w:val="Odstavecseseznamem"/>
              <w:numPr>
                <w:ilvl w:val="0"/>
                <w:numId w:val="22"/>
              </w:numPr>
              <w:rPr>
                <w:color w:val="1F497D"/>
              </w:rPr>
            </w:pPr>
            <w:r>
              <w:lastRenderedPageBreak/>
              <w:t xml:space="preserve">Co se týče organizace zadávacího řízení, je nutné ho naplánovat tak, aby nedocházelo k dělení veřejné zakázky a zároveň aby zakázka nebyla cílena na příliš malý okruh potenciálních dodavatelů. Vzhledem k tomu, že každý rok podléhá dotace vydání nového rozhodnutí o poskytnutí dotace, doporučujeme případné víceleté smlouvy pro dodávky v dalších letech formulovat tak, že plnění v každém roce podléhá přidělení dotace pro jednotlivé roky ze strany poskytovatele </w:t>
            </w:r>
            <w:r>
              <w:lastRenderedPageBreak/>
              <w:t>dotace a mít tedy smluvně zajištěnou možnost případnou dodávku v případě nepřidělení dotace na další roky nerealizovat.</w:t>
            </w:r>
            <w:r w:rsidRPr="001A632B">
              <w:rPr>
                <w:color w:val="1F497D"/>
              </w:rPr>
              <w:t xml:space="preserve"> </w:t>
            </w:r>
          </w:p>
          <w:p w14:paraId="2D89E482" w14:textId="77777777" w:rsidR="001A632B" w:rsidRPr="001A632B" w:rsidRDefault="001A632B" w:rsidP="001A632B">
            <w:pPr>
              <w:pStyle w:val="Odstavecseseznamem"/>
              <w:shd w:val="clear" w:color="auto" w:fill="FFFFFF"/>
              <w:spacing w:line="240" w:lineRule="auto"/>
              <w:textAlignment w:val="baseline"/>
              <w:rPr>
                <w:rFonts w:ascii="Calibri" w:eastAsia="Times New Roman" w:hAnsi="Calibri" w:cs="Calibri"/>
                <w:color w:val="000000"/>
                <w:bdr w:val="none" w:sz="0" w:space="0" w:color="auto" w:frame="1"/>
                <w:shd w:val="clear" w:color="auto" w:fill="FFFFFF"/>
                <w:lang w:eastAsia="cs-CZ"/>
              </w:rPr>
            </w:pPr>
          </w:p>
        </w:tc>
        <w:tc>
          <w:tcPr>
            <w:tcW w:w="1421" w:type="dxa"/>
          </w:tcPr>
          <w:p w14:paraId="33313D07" w14:textId="77777777" w:rsidR="001A632B" w:rsidRDefault="001A632B" w:rsidP="00EC320B">
            <w:pPr>
              <w:jc w:val="center"/>
              <w:rPr>
                <w:bCs/>
              </w:rPr>
            </w:pPr>
            <w:r>
              <w:rPr>
                <w:bCs/>
              </w:rPr>
              <w:lastRenderedPageBreak/>
              <w:t>30.4.2021</w:t>
            </w:r>
          </w:p>
          <w:p w14:paraId="1E1012D0" w14:textId="072A240A" w:rsidR="001A632B" w:rsidRDefault="001A632B" w:rsidP="00EC320B">
            <w:pPr>
              <w:jc w:val="center"/>
              <w:rPr>
                <w:bCs/>
              </w:rPr>
            </w:pPr>
            <w:r>
              <w:rPr>
                <w:bCs/>
              </w:rPr>
              <w:t>emailem</w:t>
            </w:r>
          </w:p>
        </w:tc>
      </w:tr>
      <w:tr w:rsidR="009B35DB" w14:paraId="21141E13" w14:textId="77777777" w:rsidTr="00667EC0">
        <w:trPr>
          <w:trHeight w:val="1686"/>
        </w:trPr>
        <w:tc>
          <w:tcPr>
            <w:tcW w:w="1828" w:type="dxa"/>
            <w:gridSpan w:val="2"/>
          </w:tcPr>
          <w:p w14:paraId="612E501C" w14:textId="2C03BB1B" w:rsidR="009B35DB" w:rsidRDefault="009B35DB" w:rsidP="00667EC0">
            <w:pPr>
              <w:pStyle w:val="Odstavecseseznamem"/>
            </w:pPr>
            <w:r>
              <w:t>27.4.2021</w:t>
            </w:r>
          </w:p>
        </w:tc>
        <w:tc>
          <w:tcPr>
            <w:tcW w:w="4059" w:type="dxa"/>
            <w:gridSpan w:val="2"/>
          </w:tcPr>
          <w:p w14:paraId="65F842B1" w14:textId="450A0042" w:rsidR="00D52102" w:rsidRDefault="00D52102" w:rsidP="00D52102">
            <w:r>
              <w:t>N</w:t>
            </w:r>
            <w:r>
              <w:t xml:space="preserve">ení proti pravidlům projektu, když </w:t>
            </w:r>
            <w:r>
              <w:t>partnera projektu</w:t>
            </w:r>
            <w:r>
              <w:t xml:space="preserve"> NNO požádala, aby byl součástí řešitelského týmu projektu, respektive, že by za svoji účast- realizaci aktivit</w:t>
            </w:r>
            <w:r>
              <w:t xml:space="preserve"> </w:t>
            </w:r>
            <w:r>
              <w:t>-  v projektu dostával finanční odměnu</w:t>
            </w:r>
            <w:r>
              <w:t>?</w:t>
            </w:r>
            <w:r>
              <w:t xml:space="preserve"> </w:t>
            </w:r>
          </w:p>
          <w:p w14:paraId="00236442" w14:textId="77777777" w:rsidR="00D52102" w:rsidRDefault="00D52102" w:rsidP="00D52102"/>
          <w:p w14:paraId="7A9A59CA" w14:textId="77777777" w:rsidR="00D52102" w:rsidRDefault="00D52102" w:rsidP="00D52102"/>
          <w:p w14:paraId="05AD6AD8" w14:textId="77777777" w:rsidR="00D52102" w:rsidRDefault="00D52102" w:rsidP="00D52102"/>
          <w:p w14:paraId="3DD3D8D6" w14:textId="77777777" w:rsidR="00D52102" w:rsidRDefault="00D52102" w:rsidP="00D52102"/>
          <w:p w14:paraId="3E684535" w14:textId="77777777" w:rsidR="00D52102" w:rsidRDefault="00D52102" w:rsidP="00D52102"/>
          <w:p w14:paraId="7D644F54" w14:textId="77777777" w:rsidR="00D52102" w:rsidRDefault="00D52102" w:rsidP="00D52102"/>
          <w:p w14:paraId="48C42740" w14:textId="4133DAF9" w:rsidR="009B35DB" w:rsidRDefault="00D52102" w:rsidP="00D52102">
            <w:r>
              <w:t xml:space="preserve">Partner projektu informuje, že obdržel velké množství dotazů </w:t>
            </w:r>
            <w:r>
              <w:t>na geografické zaměření projektu tzn. zda jsou všechny municipality Kantonu Sarajevo zahrnuty do projektu</w:t>
            </w:r>
            <w:r>
              <w:t>?</w:t>
            </w:r>
            <w:r>
              <w:t xml:space="preserve"> </w:t>
            </w:r>
          </w:p>
        </w:tc>
        <w:tc>
          <w:tcPr>
            <w:tcW w:w="7237" w:type="dxa"/>
            <w:gridSpan w:val="2"/>
          </w:tcPr>
          <w:p w14:paraId="66480C86" w14:textId="77777777" w:rsidR="00D52102" w:rsidRDefault="00D52102" w:rsidP="00D52102">
            <w:pPr>
              <w:pStyle w:val="Odstavecseseznamem"/>
              <w:numPr>
                <w:ilvl w:val="0"/>
                <w:numId w:val="22"/>
              </w:numPr>
            </w:pPr>
            <w:r>
              <w:t>Vzhledem k tomu, že předpokládáme, že zaměstnanci KJKP Rad mají ve většině případů 100% pracovní úvazky, není pravděpodobné, že by mohli zároveň realizovat projektové aktivity v pozici zaměstnance/poddodavatele realizátora. Zároveň však mohou existovat příležitosti, pokud i sám KJKP Rad vyhodnotí, že má kapacitu, zapojit se částečně v pozici zaměstnance/</w:t>
            </w:r>
            <w:proofErr w:type="spellStart"/>
            <w:r>
              <w:t>subdododavatele</w:t>
            </w:r>
            <w:proofErr w:type="spellEnd"/>
            <w:r>
              <w:t xml:space="preserve"> příjemce grantu/realizátora. V každém případě však vhodnost takovéto dotační žádosti posoudí hodnotící komise této dotace.   </w:t>
            </w:r>
          </w:p>
          <w:p w14:paraId="4A72E5BC" w14:textId="77777777" w:rsidR="009B35DB" w:rsidRDefault="009B35DB" w:rsidP="00D52102">
            <w:pPr>
              <w:pStyle w:val="Odstavecseseznamem"/>
            </w:pPr>
          </w:p>
          <w:p w14:paraId="30554036" w14:textId="77777777" w:rsidR="00D52102" w:rsidRPr="00D52102" w:rsidRDefault="00D52102" w:rsidP="00D52102"/>
          <w:p w14:paraId="78CF7039" w14:textId="52B4C851" w:rsidR="00D52102" w:rsidRDefault="00D52102" w:rsidP="00D52102"/>
          <w:p w14:paraId="3219D055" w14:textId="77777777" w:rsidR="00D52102" w:rsidRDefault="00D52102" w:rsidP="00D52102"/>
          <w:p w14:paraId="28229D5D" w14:textId="02FA3292" w:rsidR="00D52102" w:rsidRPr="00D52102" w:rsidRDefault="00D52102" w:rsidP="00D52102">
            <w:pPr>
              <w:pStyle w:val="Odstavecseseznamem"/>
              <w:numPr>
                <w:ilvl w:val="0"/>
                <w:numId w:val="22"/>
              </w:numPr>
            </w:pPr>
            <w:r>
              <w:t>v projektu mohou být zapojeny aktivity v rámci všech municipality v Kantonu Sarajevo.</w:t>
            </w:r>
          </w:p>
        </w:tc>
        <w:tc>
          <w:tcPr>
            <w:tcW w:w="1421" w:type="dxa"/>
          </w:tcPr>
          <w:p w14:paraId="5FDDE944" w14:textId="77777777" w:rsidR="009B35DB" w:rsidRDefault="00D52102" w:rsidP="00EC320B">
            <w:pPr>
              <w:jc w:val="center"/>
              <w:rPr>
                <w:bCs/>
              </w:rPr>
            </w:pPr>
            <w:r>
              <w:rPr>
                <w:bCs/>
              </w:rPr>
              <w:t>3.5.2021</w:t>
            </w:r>
          </w:p>
          <w:p w14:paraId="52FBCDD4" w14:textId="30020C8C" w:rsidR="00D52102" w:rsidRDefault="00D52102" w:rsidP="00EC320B">
            <w:pPr>
              <w:jc w:val="center"/>
              <w:rPr>
                <w:bCs/>
              </w:rPr>
            </w:pPr>
            <w:r>
              <w:rPr>
                <w:bCs/>
              </w:rPr>
              <w:t>emailem</w:t>
            </w:r>
          </w:p>
        </w:tc>
      </w:tr>
    </w:tbl>
    <w:p w14:paraId="326DB5F0" w14:textId="77777777" w:rsidR="00766F60" w:rsidRDefault="00766F60" w:rsidP="00FF4F50"/>
    <w:sectPr w:rsidR="00766F60" w:rsidSect="00D411A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230"/>
    <w:multiLevelType w:val="hybridMultilevel"/>
    <w:tmpl w:val="29B4241A"/>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290DF5"/>
    <w:multiLevelType w:val="hybridMultilevel"/>
    <w:tmpl w:val="9AE6F916"/>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546B65"/>
    <w:multiLevelType w:val="hybridMultilevel"/>
    <w:tmpl w:val="987401EE"/>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A714AC"/>
    <w:multiLevelType w:val="hybridMultilevel"/>
    <w:tmpl w:val="75B8B21A"/>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A004CB"/>
    <w:multiLevelType w:val="hybridMultilevel"/>
    <w:tmpl w:val="1B481672"/>
    <w:lvl w:ilvl="0" w:tplc="472E2FE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1BF534AD"/>
    <w:multiLevelType w:val="hybridMultilevel"/>
    <w:tmpl w:val="37D8E204"/>
    <w:lvl w:ilvl="0" w:tplc="A7C26D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FDE336E"/>
    <w:multiLevelType w:val="hybridMultilevel"/>
    <w:tmpl w:val="BE3215BA"/>
    <w:lvl w:ilvl="0" w:tplc="A7C26D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DF52B5"/>
    <w:multiLevelType w:val="hybridMultilevel"/>
    <w:tmpl w:val="78F4A1EA"/>
    <w:lvl w:ilvl="0" w:tplc="A7C26D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027217A"/>
    <w:multiLevelType w:val="hybridMultilevel"/>
    <w:tmpl w:val="E028097C"/>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762099A"/>
    <w:multiLevelType w:val="hybridMultilevel"/>
    <w:tmpl w:val="1876D824"/>
    <w:lvl w:ilvl="0" w:tplc="A7C26D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176449C"/>
    <w:multiLevelType w:val="hybridMultilevel"/>
    <w:tmpl w:val="D0DAD86E"/>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CE3FDE"/>
    <w:multiLevelType w:val="hybridMultilevel"/>
    <w:tmpl w:val="AD922B5E"/>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1FC32E7"/>
    <w:multiLevelType w:val="hybridMultilevel"/>
    <w:tmpl w:val="F3441D26"/>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59773A5"/>
    <w:multiLevelType w:val="hybridMultilevel"/>
    <w:tmpl w:val="C1B4B1B0"/>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6611160"/>
    <w:multiLevelType w:val="hybridMultilevel"/>
    <w:tmpl w:val="98741A6E"/>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A8C03D7"/>
    <w:multiLevelType w:val="hybridMultilevel"/>
    <w:tmpl w:val="0B9A67A6"/>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42C4653"/>
    <w:multiLevelType w:val="hybridMultilevel"/>
    <w:tmpl w:val="66EC04D8"/>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E3376D3"/>
    <w:multiLevelType w:val="hybridMultilevel"/>
    <w:tmpl w:val="AE14C87A"/>
    <w:lvl w:ilvl="0" w:tplc="A7C26D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86D3CDD"/>
    <w:multiLevelType w:val="hybridMultilevel"/>
    <w:tmpl w:val="3CD41BEC"/>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DE510AE"/>
    <w:multiLevelType w:val="hybridMultilevel"/>
    <w:tmpl w:val="252A0206"/>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E1E070B"/>
    <w:multiLevelType w:val="hybridMultilevel"/>
    <w:tmpl w:val="26166EAE"/>
    <w:lvl w:ilvl="0" w:tplc="A7C26D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0"/>
  </w:num>
  <w:num w:numId="4">
    <w:abstractNumId w:val="19"/>
  </w:num>
  <w:num w:numId="5">
    <w:abstractNumId w:val="10"/>
  </w:num>
  <w:num w:numId="6">
    <w:abstractNumId w:val="18"/>
  </w:num>
  <w:num w:numId="7">
    <w:abstractNumId w:val="14"/>
  </w:num>
  <w:num w:numId="8">
    <w:abstractNumId w:val="2"/>
  </w:num>
  <w:num w:numId="9">
    <w:abstractNumId w:val="13"/>
  </w:num>
  <w:num w:numId="10">
    <w:abstractNumId w:val="16"/>
  </w:num>
  <w:num w:numId="11">
    <w:abstractNumId w:val="1"/>
  </w:num>
  <w:num w:numId="12">
    <w:abstractNumId w:val="12"/>
  </w:num>
  <w:num w:numId="13">
    <w:abstractNumId w:val="11"/>
  </w:num>
  <w:num w:numId="14">
    <w:abstractNumId w:val="3"/>
  </w:num>
  <w:num w:numId="15">
    <w:abstractNumId w:val="8"/>
  </w:num>
  <w:num w:numId="16">
    <w:abstractNumId w:val="15"/>
  </w:num>
  <w:num w:numId="17">
    <w:abstractNumId w:val="20"/>
  </w:num>
  <w:num w:numId="18">
    <w:abstractNumId w:val="6"/>
  </w:num>
  <w:num w:numId="19">
    <w:abstractNumId w:val="7"/>
  </w:num>
  <w:num w:numId="20">
    <w:abstractNumId w:val="9"/>
  </w:num>
  <w:num w:numId="21">
    <w:abstractNumId w:val="1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F60"/>
    <w:rsid w:val="00045BB2"/>
    <w:rsid w:val="00060D91"/>
    <w:rsid w:val="001A632B"/>
    <w:rsid w:val="00265FA3"/>
    <w:rsid w:val="002B6982"/>
    <w:rsid w:val="002D2F52"/>
    <w:rsid w:val="00315319"/>
    <w:rsid w:val="00350BAD"/>
    <w:rsid w:val="003801E4"/>
    <w:rsid w:val="00424007"/>
    <w:rsid w:val="00427EC3"/>
    <w:rsid w:val="004A1738"/>
    <w:rsid w:val="004B1A27"/>
    <w:rsid w:val="00523F2B"/>
    <w:rsid w:val="005A14B6"/>
    <w:rsid w:val="005F6F71"/>
    <w:rsid w:val="00627BF7"/>
    <w:rsid w:val="006E0406"/>
    <w:rsid w:val="007066EB"/>
    <w:rsid w:val="00712C1A"/>
    <w:rsid w:val="00756ACD"/>
    <w:rsid w:val="00766F60"/>
    <w:rsid w:val="007846F5"/>
    <w:rsid w:val="00797053"/>
    <w:rsid w:val="007C732F"/>
    <w:rsid w:val="008279FD"/>
    <w:rsid w:val="00856E7E"/>
    <w:rsid w:val="00970081"/>
    <w:rsid w:val="009B35DB"/>
    <w:rsid w:val="00A030B0"/>
    <w:rsid w:val="00A100F4"/>
    <w:rsid w:val="00A33F5E"/>
    <w:rsid w:val="00AA1451"/>
    <w:rsid w:val="00AB6A72"/>
    <w:rsid w:val="00AF1931"/>
    <w:rsid w:val="00B53F16"/>
    <w:rsid w:val="00B8366F"/>
    <w:rsid w:val="00BA63B3"/>
    <w:rsid w:val="00BF6792"/>
    <w:rsid w:val="00C03BF7"/>
    <w:rsid w:val="00C55FC1"/>
    <w:rsid w:val="00C77C26"/>
    <w:rsid w:val="00D016EF"/>
    <w:rsid w:val="00D411AD"/>
    <w:rsid w:val="00D52102"/>
    <w:rsid w:val="00D949EE"/>
    <w:rsid w:val="00E84301"/>
    <w:rsid w:val="00E92DCE"/>
    <w:rsid w:val="00E95BF5"/>
    <w:rsid w:val="00EC320B"/>
    <w:rsid w:val="00F24DBC"/>
    <w:rsid w:val="00F876B5"/>
    <w:rsid w:val="00FF4F50"/>
    <w:rsid w:val="01E09C03"/>
    <w:rsid w:val="051B03C2"/>
    <w:rsid w:val="0B73610C"/>
    <w:rsid w:val="0C018EF0"/>
    <w:rsid w:val="11A72052"/>
    <w:rsid w:val="11C66526"/>
    <w:rsid w:val="14D34EF7"/>
    <w:rsid w:val="15C1D343"/>
    <w:rsid w:val="166BEA24"/>
    <w:rsid w:val="1749D13D"/>
    <w:rsid w:val="1A9842C1"/>
    <w:rsid w:val="1AA31E5F"/>
    <w:rsid w:val="1E4058A1"/>
    <w:rsid w:val="1F10F40C"/>
    <w:rsid w:val="1F1D03BD"/>
    <w:rsid w:val="229507E7"/>
    <w:rsid w:val="230E00F5"/>
    <w:rsid w:val="25A11523"/>
    <w:rsid w:val="25E5D106"/>
    <w:rsid w:val="25FA9DA0"/>
    <w:rsid w:val="268795F1"/>
    <w:rsid w:val="27477301"/>
    <w:rsid w:val="293B948B"/>
    <w:rsid w:val="29BFC6AD"/>
    <w:rsid w:val="2BA554FF"/>
    <w:rsid w:val="2CA52095"/>
    <w:rsid w:val="2E3FDB49"/>
    <w:rsid w:val="2E8B1A19"/>
    <w:rsid w:val="2F5B5632"/>
    <w:rsid w:val="34C865ED"/>
    <w:rsid w:val="35405DDA"/>
    <w:rsid w:val="3869E919"/>
    <w:rsid w:val="3A0E3028"/>
    <w:rsid w:val="3ADAB715"/>
    <w:rsid w:val="3B592B98"/>
    <w:rsid w:val="3CEC4525"/>
    <w:rsid w:val="3FDDF2D9"/>
    <w:rsid w:val="4023E5E7"/>
    <w:rsid w:val="4064494F"/>
    <w:rsid w:val="408E5DCE"/>
    <w:rsid w:val="44F605A9"/>
    <w:rsid w:val="461D18C1"/>
    <w:rsid w:val="46D38AD3"/>
    <w:rsid w:val="49041BFC"/>
    <w:rsid w:val="49A24D35"/>
    <w:rsid w:val="4A97EB67"/>
    <w:rsid w:val="4DD764AA"/>
    <w:rsid w:val="4E14E2EA"/>
    <w:rsid w:val="4FCB8634"/>
    <w:rsid w:val="4FD25FAB"/>
    <w:rsid w:val="516E300C"/>
    <w:rsid w:val="537997F9"/>
    <w:rsid w:val="53984F01"/>
    <w:rsid w:val="54C3D71E"/>
    <w:rsid w:val="55715CC5"/>
    <w:rsid w:val="55B51AD4"/>
    <w:rsid w:val="57661538"/>
    <w:rsid w:val="57BE2310"/>
    <w:rsid w:val="59177680"/>
    <w:rsid w:val="60F23A00"/>
    <w:rsid w:val="6277646B"/>
    <w:rsid w:val="648A0980"/>
    <w:rsid w:val="64E36F62"/>
    <w:rsid w:val="65387D39"/>
    <w:rsid w:val="655EE29A"/>
    <w:rsid w:val="6864ABDE"/>
    <w:rsid w:val="6B19FB45"/>
    <w:rsid w:val="6BF4BFFC"/>
    <w:rsid w:val="6D825293"/>
    <w:rsid w:val="6F1E22F4"/>
    <w:rsid w:val="70BE25EA"/>
    <w:rsid w:val="70CC8419"/>
    <w:rsid w:val="723C9C54"/>
    <w:rsid w:val="726EFDE8"/>
    <w:rsid w:val="72D43839"/>
    <w:rsid w:val="746751C6"/>
    <w:rsid w:val="74AE9CAB"/>
    <w:rsid w:val="765CADEC"/>
    <w:rsid w:val="776E250A"/>
    <w:rsid w:val="78B494AC"/>
    <w:rsid w:val="7BEC35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55919"/>
  <w15:chartTrackingRefBased/>
  <w15:docId w15:val="{E149E6EC-72A3-4F90-B060-8E4105AC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6F60"/>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66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Barevntabulkaseznamu6zvraznn3">
    <w:name w:val="List Table 6 Colorful Accent 3"/>
    <w:basedOn w:val="Normlntabulka"/>
    <w:uiPriority w:val="51"/>
    <w:rsid w:val="00766F60"/>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Svtlmkatabulky">
    <w:name w:val="Grid Table Light"/>
    <w:basedOn w:val="Normlntabulka"/>
    <w:uiPriority w:val="40"/>
    <w:rsid w:val="00766F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dstavecseseznamem">
    <w:name w:val="List Paragraph"/>
    <w:basedOn w:val="Normln"/>
    <w:uiPriority w:val="34"/>
    <w:qFormat/>
    <w:rsid w:val="00B53F16"/>
    <w:pPr>
      <w:ind w:left="720"/>
      <w:contextualSpacing/>
    </w:pPr>
  </w:style>
  <w:style w:type="paragraph" w:styleId="Normlnweb">
    <w:name w:val="Normal (Web)"/>
    <w:basedOn w:val="Normln"/>
    <w:uiPriority w:val="99"/>
    <w:unhideWhenUsed/>
    <w:rsid w:val="006E040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msonormal">
    <w:name w:val="x_msonormal"/>
    <w:basedOn w:val="Normln"/>
    <w:rsid w:val="00797053"/>
    <w:pPr>
      <w:spacing w:after="0" w:line="240" w:lineRule="auto"/>
    </w:pPr>
    <w:rPr>
      <w:rFonts w:ascii="Calibri" w:hAnsi="Calibri" w:cs="Calibri"/>
      <w:lang w:eastAsia="cs-CZ"/>
    </w:rPr>
  </w:style>
  <w:style w:type="character" w:styleId="Hypertextovodkaz">
    <w:name w:val="Hyperlink"/>
    <w:basedOn w:val="Standardnpsmoodstavce"/>
    <w:uiPriority w:val="99"/>
    <w:semiHidden/>
    <w:unhideWhenUsed/>
    <w:rsid w:val="00AA1451"/>
    <w:rPr>
      <w:color w:val="0563C1"/>
      <w:u w:val="single"/>
    </w:rPr>
  </w:style>
  <w:style w:type="character" w:styleId="Siln">
    <w:name w:val="Strong"/>
    <w:basedOn w:val="Standardnpsmoodstavce"/>
    <w:uiPriority w:val="22"/>
    <w:qFormat/>
    <w:rsid w:val="00AA1451"/>
    <w:rPr>
      <w:b/>
      <w:bCs/>
    </w:rPr>
  </w:style>
  <w:style w:type="character" w:styleId="Odkaznakoment">
    <w:name w:val="annotation reference"/>
    <w:basedOn w:val="Standardnpsmoodstavce"/>
    <w:uiPriority w:val="99"/>
    <w:semiHidden/>
    <w:unhideWhenUsed/>
    <w:rsid w:val="00D016EF"/>
    <w:rPr>
      <w:sz w:val="16"/>
      <w:szCs w:val="16"/>
    </w:rPr>
  </w:style>
  <w:style w:type="paragraph" w:styleId="Textkomente">
    <w:name w:val="annotation text"/>
    <w:basedOn w:val="Normln"/>
    <w:link w:val="TextkomenteChar"/>
    <w:uiPriority w:val="99"/>
    <w:semiHidden/>
    <w:unhideWhenUsed/>
    <w:rsid w:val="00D016EF"/>
    <w:pPr>
      <w:spacing w:line="240" w:lineRule="auto"/>
    </w:pPr>
    <w:rPr>
      <w:sz w:val="20"/>
      <w:szCs w:val="20"/>
    </w:rPr>
  </w:style>
  <w:style w:type="character" w:customStyle="1" w:styleId="TextkomenteChar">
    <w:name w:val="Text komentáře Char"/>
    <w:basedOn w:val="Standardnpsmoodstavce"/>
    <w:link w:val="Textkomente"/>
    <w:uiPriority w:val="99"/>
    <w:semiHidden/>
    <w:rsid w:val="00D016EF"/>
    <w:rPr>
      <w:sz w:val="20"/>
      <w:szCs w:val="20"/>
    </w:rPr>
  </w:style>
  <w:style w:type="paragraph" w:styleId="Pedmtkomente">
    <w:name w:val="annotation subject"/>
    <w:basedOn w:val="Textkomente"/>
    <w:next w:val="Textkomente"/>
    <w:link w:val="PedmtkomenteChar"/>
    <w:uiPriority w:val="99"/>
    <w:semiHidden/>
    <w:unhideWhenUsed/>
    <w:rsid w:val="00D016EF"/>
    <w:rPr>
      <w:b/>
      <w:bCs/>
    </w:rPr>
  </w:style>
  <w:style w:type="character" w:customStyle="1" w:styleId="PedmtkomenteChar">
    <w:name w:val="Předmět komentáře Char"/>
    <w:basedOn w:val="TextkomenteChar"/>
    <w:link w:val="Pedmtkomente"/>
    <w:uiPriority w:val="99"/>
    <w:semiHidden/>
    <w:rsid w:val="00D016EF"/>
    <w:rPr>
      <w:b/>
      <w:bCs/>
      <w:sz w:val="20"/>
      <w:szCs w:val="20"/>
    </w:rPr>
  </w:style>
  <w:style w:type="paragraph" w:styleId="Textbubliny">
    <w:name w:val="Balloon Text"/>
    <w:basedOn w:val="Normln"/>
    <w:link w:val="TextbublinyChar"/>
    <w:uiPriority w:val="99"/>
    <w:semiHidden/>
    <w:unhideWhenUsed/>
    <w:rsid w:val="00D016EF"/>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D016EF"/>
    <w:rPr>
      <w:rFonts w:ascii="Times New Roman" w:hAnsi="Times New Roman" w:cs="Times New Roman"/>
      <w:sz w:val="18"/>
      <w:szCs w:val="18"/>
    </w:rPr>
  </w:style>
  <w:style w:type="character" w:styleId="Sledovanodkaz">
    <w:name w:val="FollowedHyperlink"/>
    <w:basedOn w:val="Standardnpsmoodstavce"/>
    <w:uiPriority w:val="99"/>
    <w:semiHidden/>
    <w:unhideWhenUsed/>
    <w:rsid w:val="00AB6A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8904">
      <w:bodyDiv w:val="1"/>
      <w:marLeft w:val="0"/>
      <w:marRight w:val="0"/>
      <w:marTop w:val="0"/>
      <w:marBottom w:val="0"/>
      <w:divBdr>
        <w:top w:val="none" w:sz="0" w:space="0" w:color="auto"/>
        <w:left w:val="none" w:sz="0" w:space="0" w:color="auto"/>
        <w:bottom w:val="none" w:sz="0" w:space="0" w:color="auto"/>
        <w:right w:val="none" w:sz="0" w:space="0" w:color="auto"/>
      </w:divBdr>
    </w:div>
    <w:div w:id="229733064">
      <w:bodyDiv w:val="1"/>
      <w:marLeft w:val="0"/>
      <w:marRight w:val="0"/>
      <w:marTop w:val="0"/>
      <w:marBottom w:val="0"/>
      <w:divBdr>
        <w:top w:val="none" w:sz="0" w:space="0" w:color="auto"/>
        <w:left w:val="none" w:sz="0" w:space="0" w:color="auto"/>
        <w:bottom w:val="none" w:sz="0" w:space="0" w:color="auto"/>
        <w:right w:val="none" w:sz="0" w:space="0" w:color="auto"/>
      </w:divBdr>
    </w:div>
    <w:div w:id="241335707">
      <w:bodyDiv w:val="1"/>
      <w:marLeft w:val="0"/>
      <w:marRight w:val="0"/>
      <w:marTop w:val="0"/>
      <w:marBottom w:val="0"/>
      <w:divBdr>
        <w:top w:val="none" w:sz="0" w:space="0" w:color="auto"/>
        <w:left w:val="none" w:sz="0" w:space="0" w:color="auto"/>
        <w:bottom w:val="none" w:sz="0" w:space="0" w:color="auto"/>
        <w:right w:val="none" w:sz="0" w:space="0" w:color="auto"/>
      </w:divBdr>
    </w:div>
    <w:div w:id="340739640">
      <w:bodyDiv w:val="1"/>
      <w:marLeft w:val="0"/>
      <w:marRight w:val="0"/>
      <w:marTop w:val="0"/>
      <w:marBottom w:val="0"/>
      <w:divBdr>
        <w:top w:val="none" w:sz="0" w:space="0" w:color="auto"/>
        <w:left w:val="none" w:sz="0" w:space="0" w:color="auto"/>
        <w:bottom w:val="none" w:sz="0" w:space="0" w:color="auto"/>
        <w:right w:val="none" w:sz="0" w:space="0" w:color="auto"/>
      </w:divBdr>
    </w:div>
    <w:div w:id="509373271">
      <w:bodyDiv w:val="1"/>
      <w:marLeft w:val="0"/>
      <w:marRight w:val="0"/>
      <w:marTop w:val="0"/>
      <w:marBottom w:val="0"/>
      <w:divBdr>
        <w:top w:val="none" w:sz="0" w:space="0" w:color="auto"/>
        <w:left w:val="none" w:sz="0" w:space="0" w:color="auto"/>
        <w:bottom w:val="none" w:sz="0" w:space="0" w:color="auto"/>
        <w:right w:val="none" w:sz="0" w:space="0" w:color="auto"/>
      </w:divBdr>
    </w:div>
    <w:div w:id="522205620">
      <w:bodyDiv w:val="1"/>
      <w:marLeft w:val="0"/>
      <w:marRight w:val="0"/>
      <w:marTop w:val="0"/>
      <w:marBottom w:val="0"/>
      <w:divBdr>
        <w:top w:val="none" w:sz="0" w:space="0" w:color="auto"/>
        <w:left w:val="none" w:sz="0" w:space="0" w:color="auto"/>
        <w:bottom w:val="none" w:sz="0" w:space="0" w:color="auto"/>
        <w:right w:val="none" w:sz="0" w:space="0" w:color="auto"/>
      </w:divBdr>
    </w:div>
    <w:div w:id="540243783">
      <w:bodyDiv w:val="1"/>
      <w:marLeft w:val="0"/>
      <w:marRight w:val="0"/>
      <w:marTop w:val="0"/>
      <w:marBottom w:val="0"/>
      <w:divBdr>
        <w:top w:val="none" w:sz="0" w:space="0" w:color="auto"/>
        <w:left w:val="none" w:sz="0" w:space="0" w:color="auto"/>
        <w:bottom w:val="none" w:sz="0" w:space="0" w:color="auto"/>
        <w:right w:val="none" w:sz="0" w:space="0" w:color="auto"/>
      </w:divBdr>
    </w:div>
    <w:div w:id="588658654">
      <w:bodyDiv w:val="1"/>
      <w:marLeft w:val="0"/>
      <w:marRight w:val="0"/>
      <w:marTop w:val="0"/>
      <w:marBottom w:val="0"/>
      <w:divBdr>
        <w:top w:val="none" w:sz="0" w:space="0" w:color="auto"/>
        <w:left w:val="none" w:sz="0" w:space="0" w:color="auto"/>
        <w:bottom w:val="none" w:sz="0" w:space="0" w:color="auto"/>
        <w:right w:val="none" w:sz="0" w:space="0" w:color="auto"/>
      </w:divBdr>
    </w:div>
    <w:div w:id="754284290">
      <w:bodyDiv w:val="1"/>
      <w:marLeft w:val="0"/>
      <w:marRight w:val="0"/>
      <w:marTop w:val="0"/>
      <w:marBottom w:val="0"/>
      <w:divBdr>
        <w:top w:val="none" w:sz="0" w:space="0" w:color="auto"/>
        <w:left w:val="none" w:sz="0" w:space="0" w:color="auto"/>
        <w:bottom w:val="none" w:sz="0" w:space="0" w:color="auto"/>
        <w:right w:val="none" w:sz="0" w:space="0" w:color="auto"/>
      </w:divBdr>
    </w:div>
    <w:div w:id="768887147">
      <w:bodyDiv w:val="1"/>
      <w:marLeft w:val="0"/>
      <w:marRight w:val="0"/>
      <w:marTop w:val="0"/>
      <w:marBottom w:val="0"/>
      <w:divBdr>
        <w:top w:val="none" w:sz="0" w:space="0" w:color="auto"/>
        <w:left w:val="none" w:sz="0" w:space="0" w:color="auto"/>
        <w:bottom w:val="none" w:sz="0" w:space="0" w:color="auto"/>
        <w:right w:val="none" w:sz="0" w:space="0" w:color="auto"/>
      </w:divBdr>
    </w:div>
    <w:div w:id="950556488">
      <w:bodyDiv w:val="1"/>
      <w:marLeft w:val="0"/>
      <w:marRight w:val="0"/>
      <w:marTop w:val="0"/>
      <w:marBottom w:val="0"/>
      <w:divBdr>
        <w:top w:val="none" w:sz="0" w:space="0" w:color="auto"/>
        <w:left w:val="none" w:sz="0" w:space="0" w:color="auto"/>
        <w:bottom w:val="none" w:sz="0" w:space="0" w:color="auto"/>
        <w:right w:val="none" w:sz="0" w:space="0" w:color="auto"/>
      </w:divBdr>
    </w:div>
    <w:div w:id="1108621736">
      <w:bodyDiv w:val="1"/>
      <w:marLeft w:val="0"/>
      <w:marRight w:val="0"/>
      <w:marTop w:val="0"/>
      <w:marBottom w:val="0"/>
      <w:divBdr>
        <w:top w:val="none" w:sz="0" w:space="0" w:color="auto"/>
        <w:left w:val="none" w:sz="0" w:space="0" w:color="auto"/>
        <w:bottom w:val="none" w:sz="0" w:space="0" w:color="auto"/>
        <w:right w:val="none" w:sz="0" w:space="0" w:color="auto"/>
      </w:divBdr>
    </w:div>
    <w:div w:id="1144589846">
      <w:bodyDiv w:val="1"/>
      <w:marLeft w:val="0"/>
      <w:marRight w:val="0"/>
      <w:marTop w:val="0"/>
      <w:marBottom w:val="0"/>
      <w:divBdr>
        <w:top w:val="none" w:sz="0" w:space="0" w:color="auto"/>
        <w:left w:val="none" w:sz="0" w:space="0" w:color="auto"/>
        <w:bottom w:val="none" w:sz="0" w:space="0" w:color="auto"/>
        <w:right w:val="none" w:sz="0" w:space="0" w:color="auto"/>
      </w:divBdr>
    </w:div>
    <w:div w:id="1191577013">
      <w:bodyDiv w:val="1"/>
      <w:marLeft w:val="0"/>
      <w:marRight w:val="0"/>
      <w:marTop w:val="0"/>
      <w:marBottom w:val="0"/>
      <w:divBdr>
        <w:top w:val="none" w:sz="0" w:space="0" w:color="auto"/>
        <w:left w:val="none" w:sz="0" w:space="0" w:color="auto"/>
        <w:bottom w:val="none" w:sz="0" w:space="0" w:color="auto"/>
        <w:right w:val="none" w:sz="0" w:space="0" w:color="auto"/>
      </w:divBdr>
      <w:divsChild>
        <w:div w:id="925841510">
          <w:marLeft w:val="0"/>
          <w:marRight w:val="0"/>
          <w:marTop w:val="0"/>
          <w:marBottom w:val="0"/>
          <w:divBdr>
            <w:top w:val="none" w:sz="0" w:space="0" w:color="auto"/>
            <w:left w:val="none" w:sz="0" w:space="0" w:color="auto"/>
            <w:bottom w:val="none" w:sz="0" w:space="0" w:color="auto"/>
            <w:right w:val="none" w:sz="0" w:space="0" w:color="auto"/>
          </w:divBdr>
        </w:div>
        <w:div w:id="808088781">
          <w:marLeft w:val="0"/>
          <w:marRight w:val="0"/>
          <w:marTop w:val="0"/>
          <w:marBottom w:val="0"/>
          <w:divBdr>
            <w:top w:val="none" w:sz="0" w:space="0" w:color="auto"/>
            <w:left w:val="none" w:sz="0" w:space="0" w:color="auto"/>
            <w:bottom w:val="none" w:sz="0" w:space="0" w:color="auto"/>
            <w:right w:val="none" w:sz="0" w:space="0" w:color="auto"/>
          </w:divBdr>
        </w:div>
        <w:div w:id="410353041">
          <w:marLeft w:val="0"/>
          <w:marRight w:val="0"/>
          <w:marTop w:val="0"/>
          <w:marBottom w:val="0"/>
          <w:divBdr>
            <w:top w:val="none" w:sz="0" w:space="0" w:color="auto"/>
            <w:left w:val="none" w:sz="0" w:space="0" w:color="auto"/>
            <w:bottom w:val="none" w:sz="0" w:space="0" w:color="auto"/>
            <w:right w:val="none" w:sz="0" w:space="0" w:color="auto"/>
          </w:divBdr>
        </w:div>
      </w:divsChild>
    </w:div>
    <w:div w:id="1193810779">
      <w:bodyDiv w:val="1"/>
      <w:marLeft w:val="0"/>
      <w:marRight w:val="0"/>
      <w:marTop w:val="0"/>
      <w:marBottom w:val="0"/>
      <w:divBdr>
        <w:top w:val="none" w:sz="0" w:space="0" w:color="auto"/>
        <w:left w:val="none" w:sz="0" w:space="0" w:color="auto"/>
        <w:bottom w:val="none" w:sz="0" w:space="0" w:color="auto"/>
        <w:right w:val="none" w:sz="0" w:space="0" w:color="auto"/>
      </w:divBdr>
    </w:div>
    <w:div w:id="1448086353">
      <w:bodyDiv w:val="1"/>
      <w:marLeft w:val="0"/>
      <w:marRight w:val="0"/>
      <w:marTop w:val="0"/>
      <w:marBottom w:val="0"/>
      <w:divBdr>
        <w:top w:val="none" w:sz="0" w:space="0" w:color="auto"/>
        <w:left w:val="none" w:sz="0" w:space="0" w:color="auto"/>
        <w:bottom w:val="none" w:sz="0" w:space="0" w:color="auto"/>
        <w:right w:val="none" w:sz="0" w:space="0" w:color="auto"/>
      </w:divBdr>
    </w:div>
    <w:div w:id="1581796558">
      <w:bodyDiv w:val="1"/>
      <w:marLeft w:val="0"/>
      <w:marRight w:val="0"/>
      <w:marTop w:val="0"/>
      <w:marBottom w:val="0"/>
      <w:divBdr>
        <w:top w:val="none" w:sz="0" w:space="0" w:color="auto"/>
        <w:left w:val="none" w:sz="0" w:space="0" w:color="auto"/>
        <w:bottom w:val="none" w:sz="0" w:space="0" w:color="auto"/>
        <w:right w:val="none" w:sz="0" w:space="0" w:color="auto"/>
      </w:divBdr>
    </w:div>
    <w:div w:id="1678775324">
      <w:bodyDiv w:val="1"/>
      <w:marLeft w:val="0"/>
      <w:marRight w:val="0"/>
      <w:marTop w:val="0"/>
      <w:marBottom w:val="0"/>
      <w:divBdr>
        <w:top w:val="none" w:sz="0" w:space="0" w:color="auto"/>
        <w:left w:val="none" w:sz="0" w:space="0" w:color="auto"/>
        <w:bottom w:val="none" w:sz="0" w:space="0" w:color="auto"/>
        <w:right w:val="none" w:sz="0" w:space="0" w:color="auto"/>
      </w:divBdr>
    </w:div>
    <w:div w:id="1870952062">
      <w:bodyDiv w:val="1"/>
      <w:marLeft w:val="0"/>
      <w:marRight w:val="0"/>
      <w:marTop w:val="0"/>
      <w:marBottom w:val="0"/>
      <w:divBdr>
        <w:top w:val="none" w:sz="0" w:space="0" w:color="auto"/>
        <w:left w:val="none" w:sz="0" w:space="0" w:color="auto"/>
        <w:bottom w:val="none" w:sz="0" w:space="0" w:color="auto"/>
        <w:right w:val="none" w:sz="0" w:space="0" w:color="auto"/>
      </w:divBdr>
    </w:div>
    <w:div w:id="1947733582">
      <w:bodyDiv w:val="1"/>
      <w:marLeft w:val="0"/>
      <w:marRight w:val="0"/>
      <w:marTop w:val="0"/>
      <w:marBottom w:val="0"/>
      <w:divBdr>
        <w:top w:val="none" w:sz="0" w:space="0" w:color="auto"/>
        <w:left w:val="none" w:sz="0" w:space="0" w:color="auto"/>
        <w:bottom w:val="none" w:sz="0" w:space="0" w:color="auto"/>
        <w:right w:val="none" w:sz="0" w:space="0" w:color="auto"/>
      </w:divBdr>
    </w:div>
    <w:div w:id="2081320118">
      <w:bodyDiv w:val="1"/>
      <w:marLeft w:val="0"/>
      <w:marRight w:val="0"/>
      <w:marTop w:val="0"/>
      <w:marBottom w:val="0"/>
      <w:divBdr>
        <w:top w:val="none" w:sz="0" w:space="0" w:color="auto"/>
        <w:left w:val="none" w:sz="0" w:space="0" w:color="auto"/>
        <w:bottom w:val="none" w:sz="0" w:space="0" w:color="auto"/>
        <w:right w:val="none" w:sz="0" w:space="0" w:color="auto"/>
      </w:divBdr>
    </w:div>
    <w:div w:id="213590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zechaid.cz/wp-content/uploads/2021/03/Prezentacija-Op%C4%87inski-elaborati_Projekcija_27_11_171.pptx" TargetMode="External"/><Relationship Id="rId5" Type="http://schemas.openxmlformats.org/officeDocument/2006/relationships/hyperlink" Target="http://www.czechaid.cz/dotace/informace-pro-potencionalni-zadatele-o-dotaci-vyzva-podpora-rozvoje-nakladani-s-odpadem-v-kantonu-sarajevo-pro-rok-2021/"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2751</Words>
  <Characters>16237</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18951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Renata Blažková</cp:lastModifiedBy>
  <cp:revision>5</cp:revision>
  <dcterms:created xsi:type="dcterms:W3CDTF">2021-04-30T10:34:00Z</dcterms:created>
  <dcterms:modified xsi:type="dcterms:W3CDTF">2021-05-04T07:18:00Z</dcterms:modified>
</cp:coreProperties>
</file>