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6439F4" w:rsidRDefault="009E4B43" w:rsidP="006439F4">
      <w:pPr>
        <w:jc w:val="center"/>
        <w:rPr>
          <w:rFonts w:asciiTheme="minorHAnsi" w:hAnsiTheme="minorHAnsi"/>
          <w:b/>
          <w:sz w:val="36"/>
        </w:rPr>
      </w:pPr>
      <w:r w:rsidRPr="006439F4">
        <w:rPr>
          <w:rFonts w:asciiTheme="minorHAnsi" w:hAnsiTheme="minorHAnsi"/>
          <w:b/>
          <w:sz w:val="36"/>
        </w:rPr>
        <w:t>Příloha VIII - Uznatelné výdaje projektu zahraniční rozvojové spolupráce České republiky</w:t>
      </w:r>
      <w:bookmarkStart w:id="0" w:name="_GoBack"/>
      <w:bookmarkEnd w:id="0"/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Uznatelné výdaje lze obecně definovat jako ty skutečně vynaložené výdaje, které lze hradit z dotace a o jejichž úhradu může žadatel o dotaci žádat v souvislosti se schváleným projektem české dvoustranné zahraniční rozvojové spolupráce, jehož realizace bude probíhat v zemi, které daná podpora přísluší.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Pravidla pro zařazení a prokázání uznatelných výdajů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Uznatelné výdaje musí splňovat následující podmínky: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Výdaj musí příjemci dotace či jeho partnerovi vzniknout v době realizace projektu tak, jak je definováno ve smlouvě se zadavatelem. Toto pravidlo se netýká výdaje za povinný audit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Výdaj musí být stanoven pro realizaci příslušného projektu a musí být obsažen v rozpočtu projektů.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1. Osobní a cestovní výdaje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Osobní a cestovní výdaje na zaměstnance příjemce dotace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Osobní a cestovní výdaje na externí spolupracovníky příjemce dotace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</w:t>
      </w:r>
      <w:r w:rsidRPr="009A013D">
        <w:rPr>
          <w:rFonts w:asciiTheme="minorHAnsi" w:hAnsiTheme="minorHAnsi"/>
        </w:rPr>
        <w:lastRenderedPageBreak/>
        <w:t xml:space="preserve">262/2006 Sb., zákoník práce, v platném znění, a limity stanovené pro jednotlivé země ministerstvem financí.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pobyt zástupců spolupracujících subjektů v ČR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2. Vybavení a dodávky zboží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pořízení dlouhodobého hmotného a nehmotného majetku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9A013D">
        <w:rPr>
          <w:rFonts w:asciiTheme="minorHAnsi" w:hAnsiTheme="minorHAnsi"/>
        </w:rPr>
        <w:t>technicko-ekonomickým</w:t>
      </w:r>
      <w:proofErr w:type="spellEnd"/>
      <w:r w:rsidRPr="009A013D">
        <w:rPr>
          <w:rFonts w:asciiTheme="minorHAnsi" w:hAnsiTheme="minorHAnsi"/>
        </w:rPr>
        <w:t xml:space="preserve"> určením s dobou použitelnosti delší než 1 rok) a dlouhodobého nehmotného </w:t>
      </w:r>
      <w:proofErr w:type="gramStart"/>
      <w:r w:rsidRPr="009A013D">
        <w:rPr>
          <w:rFonts w:asciiTheme="minorHAnsi" w:hAnsiTheme="minorHAnsi"/>
        </w:rPr>
        <w:t>majetku  (software</w:t>
      </w:r>
      <w:proofErr w:type="gramEnd"/>
      <w:r w:rsidRPr="009A013D">
        <w:rPr>
          <w:rFonts w:asciiTheme="minorHAnsi" w:hAnsiTheme="minorHAnsi"/>
        </w:rPr>
        <w:t xml:space="preserve">, nehmotné výsledky výzkumu apod.) jsou uznatelné, pokud: </w:t>
      </w:r>
    </w:p>
    <w:p w:rsidR="009E4B43" w:rsidRPr="009A013D" w:rsidRDefault="009E4B43" w:rsidP="009E4B43">
      <w:pPr>
        <w:numPr>
          <w:ilvl w:val="0"/>
          <w:numId w:val="7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je jejich vynaložení nezbytné pro přímou realizaci příslušného projektu,</w:t>
      </w:r>
    </w:p>
    <w:p w:rsidR="009E4B43" w:rsidRPr="009A013D" w:rsidRDefault="009E4B43" w:rsidP="009E4B43">
      <w:pPr>
        <w:numPr>
          <w:ilvl w:val="0"/>
          <w:numId w:val="7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E4B43" w:rsidRPr="009A013D" w:rsidRDefault="009E4B43" w:rsidP="009E4B43">
      <w:pPr>
        <w:numPr>
          <w:ilvl w:val="0"/>
          <w:numId w:val="7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bude pořízený majetek předán konečnému příjemci pomoci (jak </w:t>
      </w:r>
      <w:proofErr w:type="gramStart"/>
      <w:r w:rsidRPr="009A013D">
        <w:rPr>
          <w:rFonts w:asciiTheme="minorHAnsi" w:hAnsiTheme="minorHAnsi"/>
        </w:rPr>
        <w:t>bude</w:t>
      </w:r>
      <w:proofErr w:type="gramEnd"/>
      <w:r w:rsidRPr="009A013D">
        <w:rPr>
          <w:rFonts w:asciiTheme="minorHAnsi" w:hAnsiTheme="minorHAnsi"/>
        </w:rPr>
        <w:t xml:space="preserve"> s nabytým majetkem naloženo </w:t>
      </w:r>
      <w:proofErr w:type="gramStart"/>
      <w:r w:rsidRPr="009A013D">
        <w:rPr>
          <w:rFonts w:asciiTheme="minorHAnsi" w:hAnsiTheme="minorHAnsi"/>
        </w:rPr>
        <w:t>musí</w:t>
      </w:r>
      <w:proofErr w:type="gramEnd"/>
      <w:r w:rsidRPr="009A013D">
        <w:rPr>
          <w:rFonts w:asciiTheme="minorHAnsi" w:hAnsiTheme="minorHAnsi"/>
        </w:rPr>
        <w:t xml:space="preserve"> být zřejmé již ve fázi návrhu projektu),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na pořízení drobného hmotného majetku, na spotřební materiál a na energie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 Výdaje na nákup spotřebního materiálu a pohonných hmot jsou uznatelným </w:t>
      </w:r>
      <w:proofErr w:type="gramStart"/>
      <w:r w:rsidRPr="009A013D">
        <w:rPr>
          <w:rFonts w:asciiTheme="minorHAnsi" w:hAnsiTheme="minorHAnsi"/>
        </w:rPr>
        <w:t>nákladem pouze</w:t>
      </w:r>
      <w:proofErr w:type="gramEnd"/>
      <w:r w:rsidRPr="009A013D">
        <w:rPr>
          <w:rFonts w:asciiTheme="minorHAnsi" w:hAnsiTheme="minorHAnsi"/>
        </w:rPr>
        <w:t xml:space="preserve">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lastRenderedPageBreak/>
        <w:t>Odpisy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odpisy se týkají dlouhodobého hmotného a nehmotného majetku, který je používán přímo v souvislosti se schváleným projektem,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pořízení tohoto majetku nebylo dříve financováno za podpory státní dotace,</w:t>
      </w:r>
    </w:p>
    <w:p w:rsidR="009E4B43" w:rsidRPr="009A013D" w:rsidRDefault="009E4B43" w:rsidP="009E4B43">
      <w:pPr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amortizační výdaje byly určeny v souladu s příslušnými zákonnými předpisy,</w:t>
      </w:r>
    </w:p>
    <w:p w:rsidR="009E4B43" w:rsidRPr="009A013D" w:rsidRDefault="009E4B43" w:rsidP="009E4B43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odpisy se vztahují pouze na období realizace projektu, resp. na období, v nichž je daná činnost spolufinancována.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Příjemce dotace, který chce uplatnit odpisy jako uznatelný výdaj, musí doložit pořizovací cenu majetku, který bude odepisovat.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3. Přímé výdaje v místě realizace</w:t>
      </w:r>
    </w:p>
    <w:p w:rsidR="009E4B43" w:rsidRPr="009A013D" w:rsidRDefault="009E4B43" w:rsidP="009E4B43">
      <w:pPr>
        <w:keepNext/>
        <w:spacing w:before="120" w:after="120"/>
        <w:rPr>
          <w:rFonts w:asciiTheme="minorHAnsi" w:hAnsiTheme="minorHAnsi"/>
          <w:b/>
          <w:bCs/>
        </w:rPr>
      </w:pPr>
      <w:r w:rsidRPr="009A013D">
        <w:rPr>
          <w:rFonts w:asciiTheme="minorHAnsi" w:hAnsiTheme="minorHAnsi"/>
          <w:b/>
          <w:bCs/>
        </w:rPr>
        <w:t>Výdaje související s využíváním prostor pro účely projektu</w:t>
      </w:r>
    </w:p>
    <w:p w:rsidR="009E4B43" w:rsidRPr="009A013D" w:rsidRDefault="009E4B43" w:rsidP="009E4B43">
      <w:pPr>
        <w:pStyle w:val="Zkladntext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4. Subdodávky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>4. Výdaje na právní poradenství jsou uznatelnými výdaji, pokud bude prokázáno, že musely být vynaloženy v souvislosti s realizací projektu a jsou v souladu s cíli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5. Odměny notářů za ověření dokumentů jsou uznatelnými výdaji, pokud byly vynaloženy v souvislosti s realizací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7. Výdaje na pohoštění jsou uznatelným </w:t>
      </w:r>
      <w:proofErr w:type="gramStart"/>
      <w:r w:rsidRPr="009A013D">
        <w:rPr>
          <w:rFonts w:asciiTheme="minorHAnsi" w:hAnsiTheme="minorHAnsi"/>
        </w:rPr>
        <w:t>výdajem pouze</w:t>
      </w:r>
      <w:proofErr w:type="gramEnd"/>
      <w:r w:rsidRPr="009A013D">
        <w:rPr>
          <w:rFonts w:asciiTheme="minorHAnsi" w:hAnsiTheme="minorHAnsi"/>
        </w:rPr>
        <w:t xml:space="preserve">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Nepřímé výdaje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nepřekročí výši 7 % uznatelných nákladů projektu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nezahrnují výdaje hrazené v rámci jiných položek rozpočtu projektu;</w:t>
      </w:r>
    </w:p>
    <w:p w:rsidR="009E4B43" w:rsidRPr="009A013D" w:rsidRDefault="009E4B43" w:rsidP="009E4B43">
      <w:pPr>
        <w:numPr>
          <w:ilvl w:val="0"/>
          <w:numId w:val="9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příjemce dotace není příjemcem provozní dotace ze zdrojů zadavatele.</w:t>
      </w: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Výdaje na daně a poplatky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4. Pojištění léčebných výloh (event. úrazové pojištění) a zdravotní příprava osob </w:t>
      </w:r>
      <w:proofErr w:type="gramStart"/>
      <w:r w:rsidRPr="009A013D">
        <w:rPr>
          <w:rFonts w:asciiTheme="minorHAnsi" w:hAnsiTheme="minorHAnsi"/>
        </w:rPr>
        <w:t>vysílaných  do</w:t>
      </w:r>
      <w:proofErr w:type="gramEnd"/>
      <w:r w:rsidRPr="009A013D">
        <w:rPr>
          <w:rFonts w:asciiTheme="minorHAnsi" w:hAnsiTheme="minorHAnsi"/>
        </w:rPr>
        <w:t xml:space="preserve"> zahraničí v souvislosti s příslušným projektem (např. očkování) jsou uznatelným výdajem.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7. Víza pro pracovníky vysílané do zahraničí v souvislosti s příslušným projektem jsou uznatelným výdajem;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E4B43" w:rsidRPr="009A013D" w:rsidRDefault="009E4B43" w:rsidP="009E4B43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9E4B43" w:rsidRPr="009A013D" w:rsidRDefault="009E4B43" w:rsidP="009E4B43">
      <w:pPr>
        <w:keepNext/>
        <w:spacing w:before="240" w:after="120"/>
        <w:jc w:val="both"/>
        <w:rPr>
          <w:rFonts w:asciiTheme="minorHAnsi" w:hAnsiTheme="minorHAnsi"/>
          <w:b/>
          <w:szCs w:val="17"/>
          <w:u w:val="single"/>
        </w:rPr>
      </w:pPr>
      <w:r w:rsidRPr="009A013D">
        <w:rPr>
          <w:rFonts w:asciiTheme="minorHAnsi" w:hAnsiTheme="minorHAnsi"/>
          <w:b/>
          <w:szCs w:val="17"/>
          <w:u w:val="single"/>
        </w:rPr>
        <w:t>Neuznatelné výdaje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1. Neuznatelné jsou ty výdaje příjemce dotace, které nesplňují výše uvedené podmínky pro uznatelné výdaje, tj. zejména, že 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souvisejí s jiným obdobím, než je období realizace projektu (výdaje vzniklé před datem zahájení a po dni ukončení projektu);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zřetelně nesouvisí s činností příjemce dotace pro realizovaný projekt;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není možné doložit věrohodnými a průkaznými písemnými doklady (s výjimkou nepřímých);</w:t>
      </w:r>
    </w:p>
    <w:p w:rsidR="009E4B43" w:rsidRPr="009A013D" w:rsidRDefault="009E4B43" w:rsidP="009E4B43">
      <w:pPr>
        <w:numPr>
          <w:ilvl w:val="0"/>
          <w:numId w:val="10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nejsou nezbytné pro realizaci projektu;</w:t>
      </w:r>
    </w:p>
    <w:p w:rsidR="009E4B43" w:rsidRPr="009A013D" w:rsidRDefault="009E4B43" w:rsidP="009E4B43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byly financovány z jiných dotačních zdrojů ČR.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2. Mezi neuznatelné výdaje příjemce dotace, patří: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přesahující limity určené poskytovatelem dotace jako maximální výše uznatelných výdajů;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výdaje na reprezentaci (pohoštění, občerstvení apod.), pokud poskytnutí občerstvení nesouvisí s realizací projektu (např. semináře, školení apod.). 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odměny členům statutárních orgánů;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výdaje na zaměstnance, kteří se na projektu přímo nepodílejí; 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DPH, pokud je příjemce dotace plátce DPH a tato daň je mu návratná, a to jakýmkoliv způsobem;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lastRenderedPageBreak/>
        <w:t>daně a poplatky, jako jsou daně z příjmů, daň darovací, daň dědická, daň z převodu nemovitostí a správní a soudní poplatky s výjimkami výše uvedenými;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dary ve smyslu reprezentace, nikoli dary ve smyslu pomoci rozvojové, transformační či humanitární doložené písemným dokladem;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pokuty a penále, popř. další sankční výdaje;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odpis pohledávek;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manka a škody;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tvorba rezerv a opravných položek;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zúčtování oprávky k opravné položce k nabytému majetku;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úroky z úvěrů a půjček, splátky půjček;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finanční leasing;</w:t>
      </w:r>
    </w:p>
    <w:p w:rsidR="009E4B43" w:rsidRPr="009A013D" w:rsidRDefault="009E4B43" w:rsidP="009E4B43">
      <w:pPr>
        <w:numPr>
          <w:ilvl w:val="0"/>
          <w:numId w:val="11"/>
        </w:numPr>
        <w:spacing w:before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finanční výdaje, které nejsou výše uvedeny mezi uznatelnými výdaji, zejména poplatky za vedení jiného účtu než je běžný účet projektu;</w:t>
      </w:r>
    </w:p>
    <w:p w:rsidR="009E4B43" w:rsidRPr="009A013D" w:rsidRDefault="009E4B43" w:rsidP="009E4B43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>výdaje na právní spory;</w:t>
      </w: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  <w:r w:rsidRPr="009A013D">
        <w:rPr>
          <w:rFonts w:asciiTheme="minorHAnsi" w:hAnsiTheme="minorHAnsi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E4B43" w:rsidRPr="009A013D" w:rsidRDefault="009E4B43" w:rsidP="009E4B43">
      <w:pPr>
        <w:rPr>
          <w:rFonts w:asciiTheme="minorHAnsi" w:hAnsiTheme="minorHAnsi"/>
        </w:rPr>
      </w:pPr>
      <w:r w:rsidRPr="009A013D">
        <w:rPr>
          <w:rFonts w:asciiTheme="minorHAnsi" w:hAnsiTheme="minorHAnsi"/>
        </w:rPr>
        <w:t>4. Neuznatelné výdaje musí příjemce dotace vždy hradit z jiných zdrojů, než jsou prostředky dvoustranné zahraniční rozvojové spolupráce ČR.</w:t>
      </w:r>
    </w:p>
    <w:p w:rsidR="009E4B43" w:rsidRPr="009A013D" w:rsidRDefault="009E4B43" w:rsidP="009E4B43">
      <w:pPr>
        <w:rPr>
          <w:rFonts w:asciiTheme="minorHAnsi" w:hAnsiTheme="minorHAnsi"/>
        </w:rPr>
      </w:pPr>
    </w:p>
    <w:p w:rsidR="009E4B43" w:rsidRPr="009A013D" w:rsidRDefault="009E4B43" w:rsidP="009E4B43">
      <w:pPr>
        <w:spacing w:after="120"/>
        <w:jc w:val="both"/>
        <w:rPr>
          <w:rFonts w:asciiTheme="minorHAnsi" w:hAnsiTheme="minorHAnsi"/>
        </w:rPr>
      </w:pPr>
    </w:p>
    <w:p w:rsidR="003E6D72" w:rsidRPr="009A013D" w:rsidRDefault="003E6D72" w:rsidP="00845815">
      <w:pPr>
        <w:rPr>
          <w:rFonts w:asciiTheme="minorHAnsi" w:hAnsiTheme="minorHAnsi"/>
        </w:rPr>
      </w:pPr>
    </w:p>
    <w:sectPr w:rsidR="003E6D72" w:rsidRPr="009A013D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543" w:rsidRDefault="004A6543" w:rsidP="00804DF5">
      <w:r>
        <w:separator/>
      </w:r>
    </w:p>
    <w:p w:rsidR="004A6543" w:rsidRDefault="004A6543"/>
  </w:endnote>
  <w:endnote w:type="continuationSeparator" w:id="0">
    <w:p w:rsidR="004A6543" w:rsidRDefault="004A6543" w:rsidP="00804DF5">
      <w:r>
        <w:continuationSeparator/>
      </w:r>
    </w:p>
    <w:p w:rsidR="004A6543" w:rsidRDefault="004A6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6439F4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543" w:rsidRDefault="004A6543" w:rsidP="00804DF5">
      <w:r>
        <w:separator/>
      </w:r>
    </w:p>
    <w:p w:rsidR="004A6543" w:rsidRDefault="004A6543"/>
  </w:footnote>
  <w:footnote w:type="continuationSeparator" w:id="0">
    <w:p w:rsidR="004A6543" w:rsidRDefault="004A6543" w:rsidP="00804DF5">
      <w:r>
        <w:continuationSeparator/>
      </w:r>
    </w:p>
    <w:p w:rsidR="004A6543" w:rsidRDefault="004A65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4A654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30729B"/>
    <w:rsid w:val="00313410"/>
    <w:rsid w:val="00325AA5"/>
    <w:rsid w:val="00356030"/>
    <w:rsid w:val="00380462"/>
    <w:rsid w:val="003E6D72"/>
    <w:rsid w:val="00477B81"/>
    <w:rsid w:val="004A6543"/>
    <w:rsid w:val="004B7266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94F60"/>
    <w:rsid w:val="00BA787F"/>
    <w:rsid w:val="00BB0594"/>
    <w:rsid w:val="00BC5615"/>
    <w:rsid w:val="00BD116D"/>
    <w:rsid w:val="00BD4272"/>
    <w:rsid w:val="00BE2E45"/>
    <w:rsid w:val="00C0511A"/>
    <w:rsid w:val="00C306FE"/>
    <w:rsid w:val="00C3087B"/>
    <w:rsid w:val="00C35C79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708FF6-E508-4932-9066-30AC5FE8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2513</Words>
  <Characters>14829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16</cp:revision>
  <dcterms:created xsi:type="dcterms:W3CDTF">2016-11-23T08:21:00Z</dcterms:created>
  <dcterms:modified xsi:type="dcterms:W3CDTF">2017-03-02T14:15:00Z</dcterms:modified>
</cp:coreProperties>
</file>