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BDC" w:rsidRPr="00D4073A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D4073A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Příloha V</w:t>
      </w:r>
      <w:r w:rsidR="009E4C47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I</w:t>
      </w:r>
      <w:bookmarkStart w:id="0" w:name="_GoBack"/>
      <w:bookmarkEnd w:id="0"/>
      <w:r w:rsidR="004D2BDC" w:rsidRPr="00D4073A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 logického rámce</w:t>
      </w:r>
    </w:p>
    <w:p w:rsidR="004D2BDC" w:rsidRPr="003A074C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3A074C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2"/>
        <w:gridCol w:w="3119"/>
        <w:gridCol w:w="3685"/>
        <w:gridCol w:w="3544"/>
        <w:gridCol w:w="3025"/>
      </w:tblGrid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Popis projektu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bCs/>
                <w:sz w:val="20"/>
              </w:rPr>
              <w:t>(intervenční logika)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Objektivně ověřitelné ukazatele</w:t>
            </w:r>
            <w:r w:rsidRPr="003A074C">
              <w:rPr>
                <w:rFonts w:ascii="Georgia" w:hAnsi="Georgia"/>
                <w:bCs/>
                <w:sz w:val="20"/>
              </w:rPr>
              <w:t xml:space="preserve"> (indikátory)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Předpoklady a rizika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bCs/>
                <w:sz w:val="20"/>
              </w:rPr>
              <w:t>(klíčové externí faktory ovlivňující průběh a úspěšnost projektu)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Záměr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Cíle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Výstupy</w:t>
            </w:r>
          </w:p>
        </w:tc>
        <w:tc>
          <w:tcPr>
            <w:tcW w:w="3119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  <w:r w:rsidRPr="003A074C">
              <w:rPr>
                <w:rFonts w:ascii="Georgia" w:hAnsi="Georgia"/>
                <w:b/>
                <w:bCs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>Prostředky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>Rozpočet</w:t>
            </w:r>
            <w:r w:rsidRPr="003A074C">
              <w:rPr>
                <w:rFonts w:ascii="Georgia" w:hAnsi="Georgia"/>
                <w:b/>
                <w:bCs/>
              </w:rPr>
              <w:br/>
            </w:r>
            <w:r w:rsidRPr="003A074C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3A074C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3A074C">
              <w:rPr>
                <w:rFonts w:ascii="Georgia" w:hAnsi="Georgia"/>
                <w:b/>
                <w:bCs/>
              </w:rPr>
              <w:t xml:space="preserve">Výchozí podmínky </w:t>
            </w:r>
            <w:r w:rsidRPr="003A074C">
              <w:rPr>
                <w:rFonts w:ascii="Georgia" w:hAnsi="Georgia"/>
                <w:sz w:val="20"/>
              </w:rPr>
              <w:t>(vstupní předpoklady)</w:t>
            </w:r>
          </w:p>
          <w:p w:rsidR="004D2BDC" w:rsidRPr="003A074C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:rsidR="004D2BDC" w:rsidRDefault="004D2BDC" w:rsidP="004D2BDC">
      <w:pPr>
        <w:rPr>
          <w:rFonts w:ascii="Georgia" w:hAnsi="Georgia"/>
        </w:rPr>
      </w:pPr>
      <w:r w:rsidRPr="003A074C">
        <w:rPr>
          <w:rFonts w:ascii="Georgia" w:hAnsi="Georgia"/>
        </w:rPr>
        <w:br w:type="page"/>
      </w:r>
      <w:r w:rsidRPr="003A074C">
        <w:rPr>
          <w:rFonts w:ascii="Georgia" w:hAnsi="Georgia"/>
        </w:rPr>
        <w:lastRenderedPageBreak/>
        <w:t>Komentář k jednotlivým sloupcům matice logického rámce:</w:t>
      </w:r>
    </w:p>
    <w:p w:rsidR="003A074C" w:rsidRPr="003A074C" w:rsidRDefault="003A074C" w:rsidP="004D2BDC">
      <w:pPr>
        <w:rPr>
          <w:rFonts w:ascii="Georgia" w:hAnsi="Georgia"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1.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Popis projektu</w:t>
      </w:r>
      <w:r w:rsidRPr="003A074C">
        <w:rPr>
          <w:rFonts w:ascii="Georgia" w:hAnsi="Georgia"/>
        </w:rPr>
        <w:t xml:space="preserve"> (intervenční logika)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 xml:space="preserve">Z prvního sloupce lze vyčíst </w:t>
      </w:r>
      <w:r w:rsidRPr="003A074C">
        <w:rPr>
          <w:rFonts w:ascii="Georgia" w:hAnsi="Georgia"/>
          <w:b/>
        </w:rPr>
        <w:t>základní strategii projektu s předpokládanými kauzálními vztahy</w:t>
      </w:r>
      <w:r w:rsidRPr="003A074C">
        <w:rPr>
          <w:rFonts w:ascii="Georgia" w:hAnsi="Georgia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>Tato logika ovšem předpokládá současné splnění předpokladů, definovaných ve čtvrtém sloupci matice, na příslušné úrovni podle vertikální logiky projektu.</w:t>
      </w:r>
    </w:p>
    <w:p w:rsidR="004D2BDC" w:rsidRPr="003A074C" w:rsidRDefault="004D2BDC" w:rsidP="004D2BDC">
      <w:pPr>
        <w:pStyle w:val="Normlnodsazen"/>
        <w:spacing w:after="120" w:line="240" w:lineRule="auto"/>
        <w:rPr>
          <w:rFonts w:ascii="Georgia" w:hAnsi="Georgia"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2.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Objektivně ověřitelné ukazatele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>Objektivně měřitelné ukazatele jsou indikátory, pomocí kterých ověřujeme, zda došlo k dosažení výstupů, cílů a záměru projektu. Indikátory musí být „</w:t>
      </w:r>
      <w:r w:rsidRPr="003A074C">
        <w:rPr>
          <w:rFonts w:ascii="Georgia" w:hAnsi="Georgia"/>
          <w:b/>
        </w:rPr>
        <w:t>SMART</w:t>
      </w:r>
      <w:r w:rsidRPr="003A074C">
        <w:rPr>
          <w:rFonts w:ascii="Georgia" w:hAnsi="Georgia"/>
        </w:rPr>
        <w:t xml:space="preserve">“ – </w:t>
      </w:r>
      <w:r w:rsidRPr="003A074C">
        <w:rPr>
          <w:rFonts w:ascii="Georgia" w:hAnsi="Georgia"/>
          <w:i/>
        </w:rPr>
        <w:t>Specific</w:t>
      </w:r>
      <w:r w:rsidRPr="003A074C">
        <w:rPr>
          <w:rFonts w:ascii="Georgia" w:hAnsi="Georgia"/>
        </w:rPr>
        <w:t xml:space="preserve"> (specifické, pro každou měřenou úroveň), </w:t>
      </w:r>
      <w:r w:rsidRPr="003A074C">
        <w:rPr>
          <w:rFonts w:ascii="Georgia" w:hAnsi="Georgia"/>
          <w:i/>
        </w:rPr>
        <w:t>Measurable</w:t>
      </w:r>
      <w:r w:rsidRPr="003A074C">
        <w:rPr>
          <w:rFonts w:ascii="Georgia" w:hAnsi="Georgia"/>
        </w:rPr>
        <w:t xml:space="preserve"> (měřitelné), </w:t>
      </w:r>
      <w:r w:rsidRPr="003A074C">
        <w:rPr>
          <w:rFonts w:ascii="Georgia" w:hAnsi="Georgia"/>
          <w:i/>
        </w:rPr>
        <w:t>Achievable</w:t>
      </w:r>
      <w:r w:rsidRPr="003A074C">
        <w:rPr>
          <w:rFonts w:ascii="Georgia" w:hAnsi="Georgia"/>
        </w:rPr>
        <w:t xml:space="preserve"> (dostupné s přijatelnými náklady), </w:t>
      </w:r>
      <w:r w:rsidRPr="003A074C">
        <w:rPr>
          <w:rFonts w:ascii="Georgia" w:hAnsi="Georgia"/>
          <w:i/>
        </w:rPr>
        <w:t xml:space="preserve">Relevant </w:t>
      </w:r>
      <w:r w:rsidRPr="003A074C">
        <w:rPr>
          <w:rFonts w:ascii="Georgia" w:hAnsi="Georgia"/>
        </w:rPr>
        <w:t xml:space="preserve">(relevantní) a </w:t>
      </w:r>
      <w:r w:rsidRPr="003A074C">
        <w:rPr>
          <w:rFonts w:ascii="Georgia" w:hAnsi="Georgia"/>
          <w:i/>
        </w:rPr>
        <w:t>Time-bound</w:t>
      </w:r>
      <w:r w:rsidRPr="003A074C">
        <w:rPr>
          <w:rFonts w:ascii="Georgia" w:hAnsi="Georgia"/>
        </w:rPr>
        <w:t xml:space="preserve"> (platné v konkrétním čase). 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i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3.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Zdroje ověření ukazatelů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t xml:space="preserve">Zdroje ověření se vztahují </w:t>
      </w:r>
      <w:r w:rsidRPr="003A074C">
        <w:rPr>
          <w:rFonts w:ascii="Georgia" w:hAnsi="Georgia"/>
          <w:b/>
        </w:rPr>
        <w:t>k jednotlivým indikátorům</w:t>
      </w:r>
      <w:r w:rsidRPr="003A074C">
        <w:rPr>
          <w:rFonts w:ascii="Georgia" w:hAnsi="Georgia"/>
        </w:rPr>
        <w:t xml:space="preserve"> a specifikují, z jakých zdrojů bude příslušná informace získána, kým bude poskytnuta a také kdy nebo jak často. 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i/>
        </w:rPr>
      </w:pPr>
    </w:p>
    <w:p w:rsidR="004D2BDC" w:rsidRPr="003A074C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  <w:r w:rsidRPr="003A074C">
        <w:rPr>
          <w:rFonts w:ascii="Georgia" w:hAnsi="Georgia"/>
          <w:i/>
        </w:rPr>
        <w:t>4. sloupec</w:t>
      </w:r>
      <w:r w:rsidRPr="003A074C">
        <w:rPr>
          <w:rFonts w:ascii="Georgia" w:hAnsi="Georgia"/>
        </w:rPr>
        <w:t xml:space="preserve"> – </w:t>
      </w:r>
      <w:r w:rsidRPr="003A074C">
        <w:rPr>
          <w:rFonts w:ascii="Georgia" w:hAnsi="Georgia"/>
          <w:b/>
        </w:rPr>
        <w:t>Předpoklady a rizika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  <w:b/>
        </w:rPr>
        <w:t>Předpokladem</w:t>
      </w:r>
      <w:r w:rsidRPr="003A074C">
        <w:rPr>
          <w:rFonts w:ascii="Georgia" w:hAnsi="Georgia"/>
        </w:rPr>
        <w:t xml:space="preserve"> se rozumí </w:t>
      </w:r>
      <w:r w:rsidRPr="003A074C">
        <w:rPr>
          <w:rFonts w:ascii="Georgia" w:hAnsi="Georgia"/>
          <w:b/>
        </w:rPr>
        <w:t>externí faktor</w:t>
      </w:r>
      <w:r w:rsidRPr="003A074C">
        <w:rPr>
          <w:rFonts w:ascii="Georgia" w:hAnsi="Georgia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:rsidR="004D2BDC" w:rsidRPr="003A074C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</w:rPr>
      </w:pPr>
      <w:r w:rsidRPr="003A074C">
        <w:rPr>
          <w:rFonts w:ascii="Georgia" w:hAnsi="Georgia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:rsidR="004D2BDC" w:rsidRPr="003A074C" w:rsidRDefault="004D2BDC" w:rsidP="004D2BDC">
      <w:pPr>
        <w:rPr>
          <w:rFonts w:ascii="Georgia" w:hAnsi="Georgia"/>
        </w:rPr>
      </w:pPr>
      <w:r w:rsidRPr="003A074C">
        <w:rPr>
          <w:rFonts w:ascii="Georgia" w:hAnsi="Georgia"/>
          <w:b/>
        </w:rPr>
        <w:t>Rizikem</w:t>
      </w:r>
      <w:r w:rsidRPr="003A074C">
        <w:rPr>
          <w:rFonts w:ascii="Georgia" w:hAnsi="Georgia"/>
        </w:rPr>
        <w:t xml:space="preserve"> je pak </w:t>
      </w:r>
      <w:r w:rsidRPr="003A074C">
        <w:rPr>
          <w:rFonts w:ascii="Georgia" w:hAnsi="Georgia"/>
          <w:b/>
        </w:rPr>
        <w:t>negativní externí faktor</w:t>
      </w:r>
      <w:r w:rsidRPr="003A074C">
        <w:rPr>
          <w:rFonts w:ascii="Georgia" w:hAnsi="Georgia"/>
        </w:rPr>
        <w:t>, který může nezávisle na vůli managementu ovlivnit průběh či úspěch projektu. Manager projektu musí zhodnotit reálná rizika a při přípravě projektu uvažovat opatření, která mohou tato rizika zmírnit či eliminovat.</w:t>
      </w:r>
    </w:p>
    <w:p w:rsidR="00482E74" w:rsidRPr="003A074C" w:rsidRDefault="00806EF3">
      <w:pPr>
        <w:rPr>
          <w:rFonts w:ascii="Georgia" w:hAnsi="Georgia"/>
        </w:rPr>
      </w:pPr>
      <w:r w:rsidRPr="003A074C">
        <w:rPr>
          <w:rFonts w:ascii="Georgia" w:hAnsi="Georgia"/>
          <w:noProof/>
        </w:rPr>
        <w:drawing>
          <wp:anchor distT="0" distB="0" distL="114300" distR="114300" simplePos="0" relativeHeight="251661312" behindDoc="1" locked="0" layoutInCell="1" allowOverlap="1" wp14:anchorId="77F30484" wp14:editId="410135DD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A074C">
        <w:rPr>
          <w:rFonts w:ascii="Georgia" w:hAnsi="Georgia"/>
          <w:noProof/>
        </w:rPr>
        <w:drawing>
          <wp:anchor distT="0" distB="0" distL="114300" distR="114300" simplePos="0" relativeHeight="251659264" behindDoc="1" locked="0" layoutInCell="1" allowOverlap="1" wp14:anchorId="667C2724" wp14:editId="43F6715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3A074C" w:rsidSect="00424F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25A" w:rsidRDefault="00D5425A" w:rsidP="00806EF3">
      <w:r>
        <w:separator/>
      </w:r>
    </w:p>
  </w:endnote>
  <w:endnote w:type="continuationSeparator" w:id="0">
    <w:p w:rsidR="00D5425A" w:rsidRDefault="00D5425A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E7F83B9" wp14:editId="7CED3C53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430408D" wp14:editId="3A29399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A922912" wp14:editId="343E76A0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B599EDB" wp14:editId="1830236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9CA28B1" wp14:editId="2B87C9B8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13527342" wp14:editId="5D1C7587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27D5B1FB" wp14:editId="4C19C047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12F23252" wp14:editId="7081350D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25A" w:rsidRDefault="00D5425A" w:rsidP="00806EF3">
      <w:r>
        <w:separator/>
      </w:r>
    </w:p>
  </w:footnote>
  <w:footnote w:type="continuationSeparator" w:id="0">
    <w:p w:rsidR="00D5425A" w:rsidRDefault="00D5425A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27DD1595" wp14:editId="6791B14B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EF3"/>
    <w:rsid w:val="00005AAB"/>
    <w:rsid w:val="00122883"/>
    <w:rsid w:val="003A074C"/>
    <w:rsid w:val="00424FC4"/>
    <w:rsid w:val="00482E74"/>
    <w:rsid w:val="004A7B38"/>
    <w:rsid w:val="004D2BDC"/>
    <w:rsid w:val="00567915"/>
    <w:rsid w:val="005C47CD"/>
    <w:rsid w:val="00784DF7"/>
    <w:rsid w:val="007A74F2"/>
    <w:rsid w:val="00806EF3"/>
    <w:rsid w:val="009E4C47"/>
    <w:rsid w:val="00D4073A"/>
    <w:rsid w:val="00D5425A"/>
    <w:rsid w:val="00EF4999"/>
    <w:rsid w:val="00FC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4C8189"/>
  <w15:docId w15:val="{6560CA0A-D082-485F-A68B-E9060B71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D62D0-F08B-4BC1-BFC4-0CA2446E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584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Martin Křeček</cp:lastModifiedBy>
  <cp:revision>10</cp:revision>
  <dcterms:created xsi:type="dcterms:W3CDTF">2017-02-02T16:51:00Z</dcterms:created>
  <dcterms:modified xsi:type="dcterms:W3CDTF">2020-04-15T11:37:00Z</dcterms:modified>
</cp:coreProperties>
</file>