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14CD" w14:textId="0FBED26B" w:rsidR="004D2BDC" w:rsidRPr="00EA4441" w:rsidRDefault="005C47CD" w:rsidP="007A74F2">
      <w:pPr>
        <w:pStyle w:val="Nadpis1"/>
        <w:jc w:val="center"/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</w:pPr>
      <w:r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Příloha </w:t>
      </w:r>
      <w:r w:rsidR="00427AA2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>IV – Matice</w:t>
      </w:r>
      <w:r w:rsidR="004D2BDC" w:rsidRPr="00EA4441">
        <w:rPr>
          <w:rFonts w:ascii="Georgia" w:eastAsia="MS Mincho" w:hAnsi="Georgia" w:cs="Times New Roman"/>
          <w:bCs w:val="0"/>
          <w:kern w:val="0"/>
          <w:sz w:val="28"/>
          <w:szCs w:val="24"/>
          <w:lang w:eastAsia="en-US"/>
        </w:rPr>
        <w:t xml:space="preserve"> logického rámce</w:t>
      </w:r>
    </w:p>
    <w:p w14:paraId="7A28D868" w14:textId="77777777" w:rsidR="004D2BDC" w:rsidRPr="00EA4441" w:rsidRDefault="004D2BDC" w:rsidP="004D2BDC">
      <w:pPr>
        <w:tabs>
          <w:tab w:val="left" w:pos="1470"/>
        </w:tabs>
        <w:rPr>
          <w:rFonts w:ascii="Georgia" w:hAnsi="Georgia"/>
          <w:sz w:val="16"/>
          <w:szCs w:val="16"/>
        </w:rPr>
      </w:pPr>
      <w:r w:rsidRPr="00EA4441">
        <w:rPr>
          <w:rFonts w:ascii="Georgia" w:hAnsi="Georgi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"/>
        <w:gridCol w:w="3030"/>
        <w:gridCol w:w="3548"/>
        <w:gridCol w:w="3406"/>
        <w:gridCol w:w="2940"/>
      </w:tblGrid>
      <w:tr w:rsidR="004D2BDC" w:rsidRPr="00EA4441" w14:paraId="3F947CE7" w14:textId="77777777" w:rsidTr="00427AA2">
        <w:trPr>
          <w:jc w:val="center"/>
        </w:trPr>
        <w:tc>
          <w:tcPr>
            <w:tcW w:w="1072" w:type="dxa"/>
          </w:tcPr>
          <w:p w14:paraId="0C03091E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</w:tcPr>
          <w:p w14:paraId="6B8176C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Popis projektu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(intervenční logika)</w:t>
            </w:r>
          </w:p>
        </w:tc>
        <w:tc>
          <w:tcPr>
            <w:tcW w:w="3685" w:type="dxa"/>
          </w:tcPr>
          <w:p w14:paraId="60B6709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 xml:space="preserve">Objektivně ověřitelné ukazatele </w:t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(indikátory)</w:t>
            </w:r>
          </w:p>
        </w:tc>
        <w:tc>
          <w:tcPr>
            <w:tcW w:w="3544" w:type="dxa"/>
          </w:tcPr>
          <w:p w14:paraId="5209D846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Zdroje ověření ukazatelů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14:paraId="5EBACE98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t>Předpoklady a rizika</w:t>
            </w:r>
            <w:r w:rsidRPr="00EA4441">
              <w:rPr>
                <w:rFonts w:ascii="Georgia" w:hAnsi="Georgia"/>
                <w:b/>
                <w:bCs/>
                <w:sz w:val="22"/>
                <w:szCs w:val="22"/>
              </w:rPr>
              <w:br/>
            </w:r>
            <w:r w:rsidRPr="00EA4441">
              <w:rPr>
                <w:rFonts w:ascii="Georgia" w:hAnsi="Georgia"/>
                <w:bCs/>
                <w:sz w:val="20"/>
                <w:szCs w:val="22"/>
              </w:rPr>
              <w:t>(klíčové externí faktory ovlivňující průběh a úspěšnost projektu)</w:t>
            </w:r>
          </w:p>
        </w:tc>
      </w:tr>
      <w:tr w:rsidR="004D2BDC" w:rsidRPr="00EA4441" w14:paraId="512C64C2" w14:textId="77777777" w:rsidTr="00427AA2">
        <w:trPr>
          <w:jc w:val="center"/>
        </w:trPr>
        <w:tc>
          <w:tcPr>
            <w:tcW w:w="1072" w:type="dxa"/>
          </w:tcPr>
          <w:p w14:paraId="3E88820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Záměr</w:t>
            </w:r>
          </w:p>
        </w:tc>
        <w:tc>
          <w:tcPr>
            <w:tcW w:w="3119" w:type="dxa"/>
          </w:tcPr>
          <w:p w14:paraId="15F15E20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Dlouhodobý dopad projektu – širší rozvojový záměr, ke kterému projekt přispívá (přínosy pro cílové skupiny)</w:t>
            </w:r>
          </w:p>
        </w:tc>
        <w:tc>
          <w:tcPr>
            <w:tcW w:w="3685" w:type="dxa"/>
          </w:tcPr>
          <w:p w14:paraId="67B4B6B5" w14:textId="27CD4DC9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 xml:space="preserve">Jakým způsobem bude měřeno dosažení záměru </w:t>
            </w:r>
            <w:r w:rsidR="00427AA2" w:rsidRPr="00EA4441">
              <w:rPr>
                <w:rFonts w:ascii="Georgia" w:hAnsi="Georgia"/>
                <w:sz w:val="20"/>
              </w:rPr>
              <w:t>projektu – indikátory</w:t>
            </w:r>
            <w:r w:rsidRPr="00EA4441">
              <w:rPr>
                <w:rFonts w:ascii="Georgia" w:hAnsi="Georgia"/>
                <w:sz w:val="20"/>
              </w:rPr>
              <w:t xml:space="preserve"> kvantitativní i kvalitativní</w:t>
            </w:r>
          </w:p>
        </w:tc>
        <w:tc>
          <w:tcPr>
            <w:tcW w:w="3544" w:type="dxa"/>
          </w:tcPr>
          <w:p w14:paraId="1AD229BA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záměru</w:t>
            </w:r>
          </w:p>
        </w:tc>
        <w:tc>
          <w:tcPr>
            <w:tcW w:w="3025" w:type="dxa"/>
            <w:tcBorders>
              <w:right w:val="single" w:sz="4" w:space="0" w:color="auto"/>
            </w:tcBorders>
          </w:tcPr>
          <w:p w14:paraId="0B979499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  <w:tr w:rsidR="004D2BDC" w:rsidRPr="00EA4441" w14:paraId="33BD1618" w14:textId="77777777" w:rsidTr="005056FF">
        <w:trPr>
          <w:jc w:val="center"/>
        </w:trPr>
        <w:tc>
          <w:tcPr>
            <w:tcW w:w="1072" w:type="dxa"/>
          </w:tcPr>
          <w:p w14:paraId="2F2242A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Cíle</w:t>
            </w:r>
          </w:p>
        </w:tc>
        <w:tc>
          <w:tcPr>
            <w:tcW w:w="3119" w:type="dxa"/>
          </w:tcPr>
          <w:p w14:paraId="5063511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Očekávaný cílový stav (zlepšení situace, pozitivní změna chování, jednání, přístupů)</w:t>
            </w:r>
          </w:p>
        </w:tc>
        <w:tc>
          <w:tcPr>
            <w:tcW w:w="3685" w:type="dxa"/>
          </w:tcPr>
          <w:p w14:paraId="0D2AAC16" w14:textId="1D3A526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 xml:space="preserve">Jakým způsobem bude měřeno dosažení cílů </w:t>
            </w:r>
            <w:r w:rsidR="00427AA2" w:rsidRPr="00EA4441">
              <w:rPr>
                <w:rFonts w:ascii="Georgia" w:hAnsi="Georgia"/>
                <w:sz w:val="20"/>
              </w:rPr>
              <w:t>projektu – indikátory</w:t>
            </w:r>
            <w:r w:rsidRPr="00EA4441">
              <w:rPr>
                <w:rFonts w:ascii="Georgia" w:hAnsi="Georgia"/>
                <w:sz w:val="20"/>
              </w:rPr>
              <w:t xml:space="preserve"> kvantitativní i kvalitativní</w:t>
            </w:r>
          </w:p>
        </w:tc>
        <w:tc>
          <w:tcPr>
            <w:tcW w:w="3544" w:type="dxa"/>
          </w:tcPr>
          <w:p w14:paraId="39187B78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cílů</w:t>
            </w:r>
          </w:p>
        </w:tc>
        <w:tc>
          <w:tcPr>
            <w:tcW w:w="3025" w:type="dxa"/>
          </w:tcPr>
          <w:p w14:paraId="7B457C43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splnění cílů mohlo vést k dosažení záměru</w:t>
            </w:r>
          </w:p>
        </w:tc>
      </w:tr>
      <w:tr w:rsidR="004D2BDC" w:rsidRPr="00EA4441" w14:paraId="3F2E0A3C" w14:textId="77777777" w:rsidTr="005056FF">
        <w:trPr>
          <w:jc w:val="center"/>
        </w:trPr>
        <w:tc>
          <w:tcPr>
            <w:tcW w:w="1072" w:type="dxa"/>
          </w:tcPr>
          <w:p w14:paraId="78056504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Výstupy</w:t>
            </w:r>
          </w:p>
        </w:tc>
        <w:tc>
          <w:tcPr>
            <w:tcW w:w="3119" w:type="dxa"/>
          </w:tcPr>
          <w:p w14:paraId="0201438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Konkrétní produkty projektu (věcně a časově identifikovatelné výsledky)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0588CCFE" w14:textId="5143794D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 xml:space="preserve">Jakým způsobem budou měřeny výstupy </w:t>
            </w:r>
            <w:r w:rsidR="00427AA2" w:rsidRPr="00EA4441">
              <w:rPr>
                <w:rFonts w:ascii="Georgia" w:hAnsi="Georgia"/>
                <w:sz w:val="20"/>
              </w:rPr>
              <w:t>projektu – indikátory</w:t>
            </w:r>
            <w:r w:rsidRPr="00EA4441">
              <w:rPr>
                <w:rFonts w:ascii="Georgia" w:hAnsi="Georgia"/>
                <w:sz w:val="20"/>
              </w:rPr>
              <w:t xml:space="preserve"> kvantitativní i kvalitativní</w:t>
            </w:r>
          </w:p>
        </w:tc>
        <w:tc>
          <w:tcPr>
            <w:tcW w:w="3544" w:type="dxa"/>
            <w:tcBorders>
              <w:bottom w:val="single" w:sz="12" w:space="0" w:color="auto"/>
            </w:tcBorders>
          </w:tcPr>
          <w:p w14:paraId="6C2CE72B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Z jakých zdrojů budou čerpány informace pro ověření indikátorů na úrovni výstupů</w:t>
            </w:r>
          </w:p>
        </w:tc>
        <w:tc>
          <w:tcPr>
            <w:tcW w:w="3025" w:type="dxa"/>
          </w:tcPr>
          <w:p w14:paraId="11AD449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výstupy projektu byly využity k naplnění cílů</w:t>
            </w:r>
          </w:p>
        </w:tc>
      </w:tr>
      <w:tr w:rsidR="004D2BDC" w:rsidRPr="00EA4441" w14:paraId="5B295C0F" w14:textId="77777777" w:rsidTr="005056FF">
        <w:trPr>
          <w:jc w:val="center"/>
        </w:trPr>
        <w:tc>
          <w:tcPr>
            <w:tcW w:w="1072" w:type="dxa"/>
            <w:tcBorders>
              <w:bottom w:val="single" w:sz="4" w:space="0" w:color="auto"/>
            </w:tcBorders>
          </w:tcPr>
          <w:p w14:paraId="644B796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Aktivity</w:t>
            </w:r>
          </w:p>
        </w:tc>
        <w:tc>
          <w:tcPr>
            <w:tcW w:w="3119" w:type="dxa"/>
            <w:tcBorders>
              <w:bottom w:val="single" w:sz="4" w:space="0" w:color="auto"/>
              <w:right w:val="single" w:sz="12" w:space="0" w:color="auto"/>
            </w:tcBorders>
          </w:tcPr>
          <w:p w14:paraId="3E7D944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Činnosti, které je nezbytné vykonat pro vyprodukování výstupů</w:t>
            </w:r>
          </w:p>
        </w:tc>
        <w:tc>
          <w:tcPr>
            <w:tcW w:w="3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2AE27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Prostředky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vstupů nutných pro realizaci aktivit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22032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2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>Rozpočet</w:t>
            </w:r>
            <w:r w:rsidRPr="00EA4441">
              <w:rPr>
                <w:rFonts w:ascii="Georgia" w:hAnsi="Georgia"/>
                <w:b/>
                <w:bCs/>
                <w:sz w:val="22"/>
              </w:rPr>
              <w:br/>
            </w:r>
            <w:r w:rsidRPr="00EA4441">
              <w:rPr>
                <w:rFonts w:ascii="Georgia" w:hAnsi="Georgia"/>
                <w:sz w:val="20"/>
              </w:rPr>
              <w:t>shrnutí finančních prostředků nutných k zajištění vstupů</w:t>
            </w: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14:paraId="19E0ABBE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sz w:val="20"/>
              </w:rPr>
              <w:t>Předpoklady, které musí být splněny, aby realizace aktivit vedla k vyprodukování výstupů</w:t>
            </w:r>
          </w:p>
        </w:tc>
      </w:tr>
      <w:tr w:rsidR="004D2BDC" w:rsidRPr="00EA4441" w14:paraId="10BAE102" w14:textId="77777777" w:rsidTr="005056FF">
        <w:trPr>
          <w:jc w:val="center"/>
        </w:trPr>
        <w:tc>
          <w:tcPr>
            <w:tcW w:w="1072" w:type="dxa"/>
            <w:tcBorders>
              <w:left w:val="nil"/>
              <w:bottom w:val="nil"/>
              <w:right w:val="nil"/>
            </w:tcBorders>
          </w:tcPr>
          <w:p w14:paraId="5CBD8297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D47BE3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458F1E9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3455ED3" w14:textId="77777777" w:rsidR="004D2BDC" w:rsidRPr="00EA4441" w:rsidRDefault="004D2BDC" w:rsidP="005056FF">
            <w:pPr>
              <w:spacing w:after="120"/>
              <w:rPr>
                <w:rFonts w:ascii="Georgia" w:hAnsi="Georgia"/>
                <w:b/>
                <w:bCs/>
              </w:rPr>
            </w:pPr>
          </w:p>
        </w:tc>
        <w:tc>
          <w:tcPr>
            <w:tcW w:w="3025" w:type="dxa"/>
            <w:tcBorders>
              <w:left w:val="single" w:sz="12" w:space="0" w:color="auto"/>
            </w:tcBorders>
          </w:tcPr>
          <w:p w14:paraId="67537CC6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  <w:r w:rsidRPr="00EA4441">
              <w:rPr>
                <w:rFonts w:ascii="Georgia" w:hAnsi="Georgia"/>
                <w:b/>
                <w:bCs/>
                <w:sz w:val="22"/>
              </w:rPr>
              <w:t xml:space="preserve">Výchozí podmínky </w:t>
            </w:r>
            <w:r w:rsidRPr="00EA4441">
              <w:rPr>
                <w:rFonts w:ascii="Georgia" w:hAnsi="Georgia"/>
                <w:sz w:val="20"/>
              </w:rPr>
              <w:t>(vstupní předpoklady)</w:t>
            </w:r>
          </w:p>
          <w:p w14:paraId="08E693A5" w14:textId="77777777" w:rsidR="004D2BDC" w:rsidRPr="00EA4441" w:rsidRDefault="004D2BDC" w:rsidP="005056FF">
            <w:pPr>
              <w:spacing w:after="120"/>
              <w:rPr>
                <w:rFonts w:ascii="Georgia" w:hAnsi="Georgia"/>
                <w:sz w:val="20"/>
              </w:rPr>
            </w:pPr>
          </w:p>
        </w:tc>
      </w:tr>
    </w:tbl>
    <w:p w14:paraId="6C56C8D0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</w:rPr>
      </w:pPr>
    </w:p>
    <w:p w14:paraId="5862D184" w14:textId="12A25E9E" w:rsidR="00363F1B" w:rsidRPr="00EA4441" w:rsidRDefault="004D2BDC" w:rsidP="00363F1B">
      <w:pPr>
        <w:rPr>
          <w:rFonts w:ascii="Georgia" w:hAnsi="Georgia"/>
          <w:sz w:val="22"/>
        </w:rPr>
      </w:pPr>
      <w:r w:rsidRPr="00EA4441">
        <w:rPr>
          <w:rFonts w:ascii="Georgia" w:hAnsi="Georgia"/>
        </w:rPr>
        <w:br w:type="page"/>
      </w:r>
      <w:r w:rsidRPr="00EA4441">
        <w:rPr>
          <w:rFonts w:ascii="Georgia" w:hAnsi="Georgia"/>
          <w:sz w:val="22"/>
        </w:rPr>
        <w:lastRenderedPageBreak/>
        <w:t>Komentář k jednotlivým sloupcům matice logického rámce:</w:t>
      </w:r>
    </w:p>
    <w:p w14:paraId="620C9BD4" w14:textId="77777777" w:rsidR="00363F1B" w:rsidRPr="00EA4441" w:rsidRDefault="00363F1B" w:rsidP="00363F1B">
      <w:pPr>
        <w:rPr>
          <w:rFonts w:ascii="Georgia" w:hAnsi="Georgia"/>
          <w:sz w:val="22"/>
        </w:rPr>
      </w:pPr>
    </w:p>
    <w:p w14:paraId="18C2FCEB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1.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Popis projektu</w:t>
      </w:r>
      <w:r w:rsidRPr="00EA4441">
        <w:rPr>
          <w:rFonts w:ascii="Georgia" w:hAnsi="Georgia"/>
          <w:sz w:val="22"/>
        </w:rPr>
        <w:t xml:space="preserve"> (intervenční logika)</w:t>
      </w:r>
    </w:p>
    <w:p w14:paraId="0B6D823D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 prvního sloupce lze vyčíst </w:t>
      </w:r>
      <w:r w:rsidRPr="00EA4441">
        <w:rPr>
          <w:rFonts w:ascii="Georgia" w:hAnsi="Georgia"/>
          <w:b/>
          <w:sz w:val="22"/>
        </w:rPr>
        <w:t>základní strategii projektu s předpokládanými kauzálními vztahy</w:t>
      </w:r>
      <w:r w:rsidRPr="00EA4441">
        <w:rPr>
          <w:rFonts w:ascii="Georgia" w:hAnsi="Georgia"/>
          <w:sz w:val="22"/>
        </w:rPr>
        <w:t>: aktivity budou realizovány za předpokladu, že jsou zajištěny dostatečné zdroje; výstupy budou vyprodukovány za předpokladu, že jsou realizovány aktivity; cíle mohou být dosaženy za předpokladu, že jsou vyprodukovány výstupy. Je-li dosaženo cílů, tyto cíle by měly přispět k pozitivnímu dlouhodobému dopadu (záměru) projektu.</w:t>
      </w:r>
    </w:p>
    <w:p w14:paraId="032A20DA" w14:textId="77777777" w:rsidR="004D2BDC" w:rsidRPr="00EA4441" w:rsidRDefault="004D2BDC" w:rsidP="00363F1B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Tato logika ovšem předpokládá současné splnění předpokladů, definovaných ve čtvrtém sloupci matice, na příslušné úrovni podle vertikální logiky projektu.</w:t>
      </w:r>
    </w:p>
    <w:p w14:paraId="023AF1A3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2A54B4AA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2.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Objektivně ověřitelné ukazatele</w:t>
      </w:r>
    </w:p>
    <w:p w14:paraId="0EA39BF2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>Objektivně měřitelné ukazatele jsou indikátory, pomocí kterých ověřujeme, zda došlo k dosažení výstupů, cílů a záměru projektu. Indikátory musí být „</w:t>
      </w:r>
      <w:r w:rsidRPr="00EA4441">
        <w:rPr>
          <w:rFonts w:ascii="Georgia" w:hAnsi="Georgia"/>
          <w:b/>
          <w:sz w:val="22"/>
        </w:rPr>
        <w:t>SMART</w:t>
      </w:r>
      <w:r w:rsidRPr="00EA4441">
        <w:rPr>
          <w:rFonts w:ascii="Georgia" w:hAnsi="Georgia"/>
          <w:sz w:val="22"/>
        </w:rPr>
        <w:t xml:space="preserve">“ – </w:t>
      </w:r>
      <w:proofErr w:type="spellStart"/>
      <w:r w:rsidRPr="00EA4441">
        <w:rPr>
          <w:rFonts w:ascii="Georgia" w:hAnsi="Georgia"/>
          <w:i/>
          <w:sz w:val="22"/>
        </w:rPr>
        <w:t>Specific</w:t>
      </w:r>
      <w:proofErr w:type="spellEnd"/>
      <w:r w:rsidRPr="00EA4441">
        <w:rPr>
          <w:rFonts w:ascii="Georgia" w:hAnsi="Georgia"/>
          <w:sz w:val="22"/>
        </w:rPr>
        <w:t xml:space="preserve"> (specifické, pro každou měřenou úroveň), </w:t>
      </w:r>
      <w:proofErr w:type="spellStart"/>
      <w:r w:rsidRPr="00EA4441">
        <w:rPr>
          <w:rFonts w:ascii="Georgia" w:hAnsi="Georgia"/>
          <w:i/>
          <w:sz w:val="22"/>
        </w:rPr>
        <w:t>Measurable</w:t>
      </w:r>
      <w:proofErr w:type="spellEnd"/>
      <w:r w:rsidRPr="00EA4441">
        <w:rPr>
          <w:rFonts w:ascii="Georgia" w:hAnsi="Georgia"/>
          <w:sz w:val="22"/>
        </w:rPr>
        <w:t xml:space="preserve"> (měřitelné), </w:t>
      </w:r>
      <w:proofErr w:type="spellStart"/>
      <w:r w:rsidRPr="00EA4441">
        <w:rPr>
          <w:rFonts w:ascii="Georgia" w:hAnsi="Georgia"/>
          <w:i/>
          <w:sz w:val="22"/>
        </w:rPr>
        <w:t>Achievable</w:t>
      </w:r>
      <w:proofErr w:type="spellEnd"/>
      <w:r w:rsidRPr="00EA4441">
        <w:rPr>
          <w:rFonts w:ascii="Georgia" w:hAnsi="Georgia"/>
          <w:sz w:val="22"/>
        </w:rPr>
        <w:t xml:space="preserve"> (dostupné s přijatelnými náklady), </w:t>
      </w:r>
      <w:proofErr w:type="spellStart"/>
      <w:r w:rsidRPr="00EA4441">
        <w:rPr>
          <w:rFonts w:ascii="Georgia" w:hAnsi="Georgia"/>
          <w:i/>
          <w:sz w:val="22"/>
        </w:rPr>
        <w:t>Relevant</w:t>
      </w:r>
      <w:proofErr w:type="spellEnd"/>
      <w:r w:rsidRPr="00EA4441">
        <w:rPr>
          <w:rFonts w:ascii="Georgia" w:hAnsi="Georgia"/>
          <w:i/>
          <w:sz w:val="22"/>
        </w:rPr>
        <w:t xml:space="preserve"> </w:t>
      </w:r>
      <w:r w:rsidRPr="00EA4441">
        <w:rPr>
          <w:rFonts w:ascii="Georgia" w:hAnsi="Georgia"/>
          <w:sz w:val="22"/>
        </w:rPr>
        <w:t xml:space="preserve">(relevantní) a </w:t>
      </w:r>
      <w:r w:rsidRPr="00EA4441">
        <w:rPr>
          <w:rFonts w:ascii="Georgia" w:hAnsi="Georgia"/>
          <w:i/>
          <w:sz w:val="22"/>
        </w:rPr>
        <w:t>Time-</w:t>
      </w:r>
      <w:proofErr w:type="spellStart"/>
      <w:r w:rsidRPr="00EA4441">
        <w:rPr>
          <w:rFonts w:ascii="Georgia" w:hAnsi="Georgia"/>
          <w:i/>
          <w:sz w:val="22"/>
        </w:rPr>
        <w:t>bound</w:t>
      </w:r>
      <w:proofErr w:type="spellEnd"/>
      <w:r w:rsidRPr="00EA4441">
        <w:rPr>
          <w:rFonts w:ascii="Georgia" w:hAnsi="Georgia"/>
          <w:sz w:val="22"/>
        </w:rPr>
        <w:t xml:space="preserve"> (platné v konkrétním čase). </w:t>
      </w:r>
    </w:p>
    <w:p w14:paraId="35A25BF8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30AF16C1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3.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Zdroje ověření ukazatelů</w:t>
      </w:r>
    </w:p>
    <w:p w14:paraId="4808C5E6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t xml:space="preserve">Zdroje ověření se vztahují </w:t>
      </w:r>
      <w:r w:rsidRPr="00EA4441">
        <w:rPr>
          <w:rFonts w:ascii="Georgia" w:hAnsi="Georgia"/>
          <w:b/>
          <w:sz w:val="22"/>
        </w:rPr>
        <w:t>k jednotlivým indikátorům</w:t>
      </w:r>
      <w:r w:rsidRPr="00EA4441">
        <w:rPr>
          <w:rFonts w:ascii="Georgia" w:hAnsi="Georgia"/>
          <w:sz w:val="22"/>
        </w:rPr>
        <w:t xml:space="preserve"> a specifikují, z jakých zdrojů bude příslušná informace získána, kým bude poskytnuta a také kdy nebo jak často. </w:t>
      </w:r>
    </w:p>
    <w:p w14:paraId="139CF5F4" w14:textId="77777777" w:rsidR="00363F1B" w:rsidRPr="00EA4441" w:rsidRDefault="00363F1B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i/>
          <w:sz w:val="22"/>
        </w:rPr>
      </w:pPr>
    </w:p>
    <w:p w14:paraId="07944C9D" w14:textId="77777777" w:rsidR="004D2BDC" w:rsidRPr="00EA4441" w:rsidRDefault="004D2BDC" w:rsidP="004D2BDC">
      <w:pPr>
        <w:pStyle w:val="Odrka"/>
        <w:numPr>
          <w:ilvl w:val="0"/>
          <w:numId w:val="0"/>
        </w:numPr>
        <w:spacing w:after="120" w:line="240" w:lineRule="auto"/>
        <w:rPr>
          <w:rFonts w:ascii="Georgia" w:hAnsi="Georgia"/>
          <w:sz w:val="22"/>
        </w:rPr>
      </w:pPr>
      <w:r w:rsidRPr="00EA4441">
        <w:rPr>
          <w:rFonts w:ascii="Georgia" w:hAnsi="Georgia"/>
          <w:i/>
          <w:sz w:val="22"/>
        </w:rPr>
        <w:t>4. sloupec</w:t>
      </w:r>
      <w:r w:rsidRPr="00EA4441">
        <w:rPr>
          <w:rFonts w:ascii="Georgia" w:hAnsi="Georgia"/>
          <w:sz w:val="22"/>
        </w:rPr>
        <w:t xml:space="preserve"> – </w:t>
      </w:r>
      <w:r w:rsidRPr="00EA4441">
        <w:rPr>
          <w:rFonts w:ascii="Georgia" w:hAnsi="Georgia"/>
          <w:b/>
          <w:sz w:val="22"/>
        </w:rPr>
        <w:t>Předpoklady a rizika</w:t>
      </w:r>
    </w:p>
    <w:p w14:paraId="5F4BD4A3" w14:textId="77777777" w:rsidR="00363F1B" w:rsidRPr="00EA4441" w:rsidRDefault="00363F1B" w:rsidP="004D2BDC">
      <w:pPr>
        <w:pStyle w:val="Normlnodsazen"/>
        <w:spacing w:after="120" w:line="240" w:lineRule="auto"/>
        <w:ind w:left="0"/>
        <w:rPr>
          <w:rFonts w:ascii="Georgia" w:hAnsi="Georgia"/>
          <w:b/>
          <w:sz w:val="22"/>
        </w:rPr>
      </w:pPr>
    </w:p>
    <w:p w14:paraId="7B29547E" w14:textId="77777777" w:rsidR="004D2BDC" w:rsidRPr="00EA4441" w:rsidRDefault="004D2BDC" w:rsidP="004D2BDC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Předpokladem</w:t>
      </w:r>
      <w:r w:rsidRPr="00EA4441">
        <w:rPr>
          <w:rFonts w:ascii="Georgia" w:hAnsi="Georgia"/>
          <w:sz w:val="22"/>
        </w:rPr>
        <w:t xml:space="preserve"> se rozumí </w:t>
      </w:r>
      <w:r w:rsidRPr="00EA4441">
        <w:rPr>
          <w:rFonts w:ascii="Georgia" w:hAnsi="Georgia"/>
          <w:b/>
          <w:sz w:val="22"/>
        </w:rPr>
        <w:t>externí faktor</w:t>
      </w:r>
      <w:r w:rsidRPr="00EA4441">
        <w:rPr>
          <w:rFonts w:ascii="Georgia" w:hAnsi="Georgia"/>
          <w:sz w:val="22"/>
        </w:rPr>
        <w:t>, nezbytný pro realizaci či úspěch projektu, avšak neovlivnitelný managementem projektu. Předpoklady jsou součástí vertikální logiky projektu: pokud budou splněny vstupní podmínky a zajištěny vstupy, pak budou realizovány aktivity. Pokud budou realizovány aktivity a splněny předpoklady na úrovni aktivit, pak budou vyprodukovány výstupy. Budou-li vyprodukovány výstupy a zároveň budou splněny předpoklady na úrovni výstupů, pak mohou být dosaženy cíle projektu. Budou-li dosaženy cíle a splněny předpoklady na úrovni cílů, pak projekt přispěje k dlouhodobému pozitivnímu dopadu.</w:t>
      </w:r>
    </w:p>
    <w:p w14:paraId="7B9B5976" w14:textId="77777777" w:rsidR="004D2BDC" w:rsidRPr="00EA4441" w:rsidRDefault="004D2BDC" w:rsidP="00743F76">
      <w:pPr>
        <w:pStyle w:val="Normlnodsazen"/>
        <w:spacing w:after="120" w:line="240" w:lineRule="auto"/>
        <w:ind w:left="0"/>
        <w:rPr>
          <w:rFonts w:ascii="Georgia" w:hAnsi="Georgia"/>
          <w:sz w:val="22"/>
        </w:rPr>
      </w:pPr>
      <w:r w:rsidRPr="00EA4441">
        <w:rPr>
          <w:rFonts w:ascii="Georgia" w:hAnsi="Georgia"/>
          <w:sz w:val="22"/>
        </w:rPr>
        <w:lastRenderedPageBreak/>
        <w:t>Předpoklady jsou zpravidla identifikovány v analytické fázi přípravy projektu – provedené analýzy odkryjí řadu faktorů, které mohou mít vliv na prostředí projektu, ale které nelze řídit. Dále je nutné analyzovat pravděpodobnost, s jakou je možné s daným faktorem počítat, jako součást hodnocení proveditelnosti projektu.</w:t>
      </w:r>
    </w:p>
    <w:p w14:paraId="11C3EF18" w14:textId="77777777" w:rsidR="004D2BDC" w:rsidRPr="00EA4441" w:rsidRDefault="004D2BDC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>Rizikem</w:t>
      </w:r>
      <w:r w:rsidRPr="00EA4441">
        <w:rPr>
          <w:rFonts w:ascii="Georgia" w:hAnsi="Georgia"/>
          <w:sz w:val="22"/>
        </w:rPr>
        <w:t xml:space="preserve"> je pak </w:t>
      </w:r>
      <w:r w:rsidRPr="00EA4441">
        <w:rPr>
          <w:rFonts w:ascii="Georgia" w:hAnsi="Georgia"/>
          <w:b/>
          <w:sz w:val="22"/>
        </w:rPr>
        <w:t>negativní externí faktor</w:t>
      </w:r>
      <w:r w:rsidRPr="00EA4441">
        <w:rPr>
          <w:rFonts w:ascii="Georgia" w:hAnsi="Georgia"/>
          <w:sz w:val="22"/>
        </w:rPr>
        <w:t>, který může nezávisle na vůli managementu ovlivnit průběh či úspěch projektu. Manager projektu musí zhodnotit reálná rizika a při přípravě projektu uvažovat opatření, která mohou tato rizika zmírnit či eliminovat.</w:t>
      </w:r>
    </w:p>
    <w:p w14:paraId="24B81C80" w14:textId="77777777" w:rsidR="00363F1B" w:rsidRPr="00EA4441" w:rsidRDefault="00363F1B" w:rsidP="00743F76">
      <w:pPr>
        <w:jc w:val="both"/>
        <w:rPr>
          <w:rFonts w:ascii="Georgia" w:hAnsi="Georgia"/>
          <w:sz w:val="22"/>
        </w:rPr>
      </w:pPr>
    </w:p>
    <w:p w14:paraId="462A177E" w14:textId="15128C94" w:rsidR="00482E74" w:rsidRPr="00EA4441" w:rsidRDefault="00363F1B" w:rsidP="00743F76">
      <w:pPr>
        <w:jc w:val="both"/>
        <w:rPr>
          <w:rFonts w:ascii="Georgia" w:hAnsi="Georgia"/>
          <w:sz w:val="22"/>
        </w:rPr>
      </w:pPr>
      <w:r w:rsidRPr="00EA4441">
        <w:rPr>
          <w:rFonts w:ascii="Georgia" w:hAnsi="Georgia"/>
          <w:b/>
          <w:sz w:val="22"/>
        </w:rPr>
        <w:t xml:space="preserve">Při zpracování logického rámce projektu </w:t>
      </w:r>
      <w:r w:rsidR="00743F76">
        <w:rPr>
          <w:rFonts w:ascii="Georgia" w:hAnsi="Georgia"/>
          <w:b/>
          <w:sz w:val="22"/>
        </w:rPr>
        <w:t xml:space="preserve">doporučujeme zahrnout také očekávané výsledky projektu uvedené v dotační výzvě, přičemž </w:t>
      </w:r>
      <w:r w:rsidRPr="00EA4441">
        <w:rPr>
          <w:rFonts w:ascii="Georgia" w:hAnsi="Georgia"/>
          <w:b/>
          <w:sz w:val="22"/>
        </w:rPr>
        <w:t xml:space="preserve">lze </w:t>
      </w:r>
      <w:r w:rsidR="00743F76">
        <w:rPr>
          <w:rFonts w:ascii="Georgia" w:hAnsi="Georgia"/>
          <w:b/>
          <w:sz w:val="22"/>
        </w:rPr>
        <w:t xml:space="preserve">rovněž </w:t>
      </w:r>
      <w:r w:rsidRPr="00EA4441">
        <w:rPr>
          <w:rFonts w:ascii="Georgia" w:hAnsi="Georgia"/>
          <w:b/>
          <w:sz w:val="22"/>
        </w:rPr>
        <w:t>využít nástroj INDIKIT</w:t>
      </w:r>
      <w:r w:rsidRPr="00EA4441">
        <w:rPr>
          <w:rFonts w:ascii="Georgia" w:hAnsi="Georgia"/>
          <w:sz w:val="22"/>
        </w:rPr>
        <w:t xml:space="preserve"> (</w:t>
      </w:r>
      <w:hyperlink r:id="rId11" w:history="1">
        <w:r w:rsidRPr="00EA4441">
          <w:rPr>
            <w:rStyle w:val="Hypertextovodkaz"/>
            <w:rFonts w:ascii="Georgia" w:hAnsi="Georgia"/>
            <w:sz w:val="22"/>
          </w:rPr>
          <w:t>www.indikit.net</w:t>
        </w:r>
      </w:hyperlink>
      <w:r w:rsidRPr="00EA4441">
        <w:rPr>
          <w:rFonts w:ascii="Georgia" w:hAnsi="Georgia"/>
          <w:sz w:val="22"/>
        </w:rPr>
        <w:t>), který nabízí realizátorům humanitárních a rozvojových projektů návody na využívání více než 300 projektových indikátorů z různých sektorů.</w:t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57D41111" wp14:editId="7D9FA046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EA4441">
        <w:rPr>
          <w:rFonts w:ascii="Georgia" w:hAnsi="Georgia"/>
          <w:noProof/>
          <w:sz w:val="22"/>
        </w:rPr>
        <w:drawing>
          <wp:anchor distT="0" distB="0" distL="114300" distR="114300" simplePos="0" relativeHeight="251659264" behindDoc="1" locked="0" layoutInCell="1" allowOverlap="1" wp14:anchorId="6FD49B3B" wp14:editId="4A5425BD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EA4441" w:rsidSect="009868D8">
      <w:headerReference w:type="default" r:id="rId13"/>
      <w:footerReference w:type="default" r:id="rId14"/>
      <w:headerReference w:type="first" r:id="rId15"/>
      <w:footerReference w:type="first" r:id="rId16"/>
      <w:pgSz w:w="16838" w:h="11906" w:orient="landscape"/>
      <w:pgMar w:top="1705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178B2" w14:textId="77777777" w:rsidR="00372F1F" w:rsidRDefault="00372F1F" w:rsidP="00806EF3">
      <w:r>
        <w:separator/>
      </w:r>
    </w:p>
  </w:endnote>
  <w:endnote w:type="continuationSeparator" w:id="0">
    <w:p w14:paraId="5AE3213A" w14:textId="77777777" w:rsidR="00372F1F" w:rsidRDefault="00372F1F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D85" w14:textId="43C8DFDB" w:rsidR="009868D8" w:rsidRDefault="009868D8" w:rsidP="009868D8">
    <w:pPr>
      <w:pStyle w:val="Zpat"/>
      <w:jc w:val="center"/>
    </w:pPr>
    <w:r>
      <w:rPr>
        <w:sz w:val="16"/>
        <w:szCs w:val="16"/>
      </w:rPr>
      <w:t xml:space="preserve">                                             </w:t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8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    </w:t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>
      <w:rPr>
        <w:sz w:val="16"/>
        <w:szCs w:val="16"/>
      </w:rPr>
      <w:t>4</w:t>
    </w:r>
    <w:r>
      <w:rPr>
        <w:sz w:val="16"/>
        <w:szCs w:val="16"/>
      </w:rPr>
      <w:t>_MP01_M29v1</w:t>
    </w:r>
  </w:p>
  <w:p w14:paraId="3EEFF9B7" w14:textId="7BB9CBBA" w:rsidR="00806EF3" w:rsidRDefault="009868D8" w:rsidP="009868D8">
    <w:pPr>
      <w:pStyle w:val="Zpat"/>
      <w:tabs>
        <w:tab w:val="clear" w:pos="4536"/>
        <w:tab w:val="clear" w:pos="9072"/>
        <w:tab w:val="center" w:pos="7002"/>
      </w:tabs>
    </w:pPr>
    <w:r>
      <w:rPr>
        <w:noProof/>
      </w:rPr>
      <w:drawing>
        <wp:anchor distT="0" distB="0" distL="114300" distR="114300" simplePos="0" relativeHeight="251678720" behindDoc="1" locked="0" layoutInCell="1" allowOverlap="1" wp14:anchorId="21C98C7E" wp14:editId="55CC821E">
          <wp:simplePos x="0" y="0"/>
          <wp:positionH relativeFrom="column">
            <wp:posOffset>-80645</wp:posOffset>
          </wp:positionH>
          <wp:positionV relativeFrom="paragraph">
            <wp:posOffset>-485140</wp:posOffset>
          </wp:positionV>
          <wp:extent cx="1714500" cy="609600"/>
          <wp:effectExtent l="0" t="0" r="0" b="0"/>
          <wp:wrapThrough wrapText="bothSides">
            <wp:wrapPolygon edited="0">
              <wp:start x="0" y="0"/>
              <wp:lineTo x="0" y="20925"/>
              <wp:lineTo x="21360" y="20925"/>
              <wp:lineTo x="21360" y="0"/>
              <wp:lineTo x="0" y="0"/>
            </wp:wrapPolygon>
          </wp:wrapThrough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0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EF3">
      <w:rPr>
        <w:noProof/>
      </w:rPr>
      <w:drawing>
        <wp:anchor distT="0" distB="0" distL="114300" distR="114300" simplePos="0" relativeHeight="251669504" behindDoc="1" locked="0" layoutInCell="1" allowOverlap="1" wp14:anchorId="74CB4F49" wp14:editId="36ADA91E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1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 w:rsidR="00806EF3">
      <w:rPr>
        <w:noProof/>
      </w:rPr>
      <w:drawing>
        <wp:anchor distT="0" distB="0" distL="114300" distR="114300" simplePos="0" relativeHeight="251667456" behindDoc="1" locked="0" layoutInCell="1" allowOverlap="1" wp14:anchorId="3F3DB8A5" wp14:editId="3DE15620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1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6EF3">
      <w:rPr>
        <w:noProof/>
      </w:rPr>
      <w:drawing>
        <wp:anchor distT="0" distB="0" distL="114300" distR="114300" simplePos="0" relativeHeight="251665408" behindDoc="1" locked="0" layoutInCell="1" allowOverlap="1" wp14:anchorId="08B1EEB5" wp14:editId="2D1F4A81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1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06EF3">
      <w:rPr>
        <w:noProof/>
      </w:rPr>
      <w:drawing>
        <wp:anchor distT="0" distB="0" distL="114300" distR="114300" simplePos="0" relativeHeight="251661312" behindDoc="1" locked="0" layoutInCell="1" allowOverlap="1" wp14:anchorId="247A0BE9" wp14:editId="7927A356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46743" w14:textId="1E6D2C3B" w:rsidR="009868D8" w:rsidRDefault="009868D8" w:rsidP="009868D8">
    <w:pPr>
      <w:pStyle w:val="Zpat"/>
      <w:tabs>
        <w:tab w:val="left" w:pos="2625"/>
        <w:tab w:val="center" w:pos="7002"/>
      </w:tabs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noProof/>
      </w:rPr>
      <w:drawing>
        <wp:anchor distT="0" distB="0" distL="114300" distR="114300" simplePos="0" relativeHeight="251677696" behindDoc="1" locked="0" layoutInCell="1" allowOverlap="1" wp14:anchorId="0B41D6BA" wp14:editId="3252731E">
          <wp:simplePos x="0" y="0"/>
          <wp:positionH relativeFrom="column">
            <wp:posOffset>-104775</wp:posOffset>
          </wp:positionH>
          <wp:positionV relativeFrom="page">
            <wp:posOffset>6802755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8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>
      <w:rPr>
        <w:sz w:val="16"/>
        <w:szCs w:val="16"/>
      </w:rPr>
      <w:t>4</w:t>
    </w:r>
    <w:r>
      <w:rPr>
        <w:sz w:val="16"/>
        <w:szCs w:val="16"/>
      </w:rPr>
      <w:t>_MP01_M29v1</w:t>
    </w:r>
  </w:p>
  <w:p w14:paraId="0C5A42E5" w14:textId="2C3147D0" w:rsidR="009868D8" w:rsidRDefault="009868D8" w:rsidP="009868D8">
    <w:pPr>
      <w:pStyle w:val="Zpat"/>
    </w:pPr>
  </w:p>
  <w:p w14:paraId="3131E9E0" w14:textId="08372618" w:rsidR="00424FC4" w:rsidRDefault="00424F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DEFAD" w14:textId="77777777" w:rsidR="00372F1F" w:rsidRDefault="00372F1F" w:rsidP="00806EF3">
      <w:r>
        <w:separator/>
      </w:r>
    </w:p>
  </w:footnote>
  <w:footnote w:type="continuationSeparator" w:id="0">
    <w:p w14:paraId="5A2FBD7C" w14:textId="77777777" w:rsidR="00372F1F" w:rsidRDefault="00372F1F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1BAFA" w14:textId="77777777" w:rsidR="00806EF3" w:rsidRDefault="00806EF3">
    <w:pPr>
      <w:pStyle w:val="Zhlav"/>
    </w:pPr>
  </w:p>
  <w:p w14:paraId="32AEF970" w14:textId="77777777"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1C44" w14:textId="77777777" w:rsidR="00424FC4" w:rsidRDefault="00424FC4">
    <w:pPr>
      <w:pStyle w:val="Zhlav"/>
    </w:pPr>
    <w:r>
      <w:rPr>
        <w:noProof/>
      </w:rPr>
      <w:drawing>
        <wp:anchor distT="0" distB="0" distL="114300" distR="114300" simplePos="0" relativeHeight="251675648" behindDoc="1" locked="0" layoutInCell="1" allowOverlap="1" wp14:anchorId="0AC669E2" wp14:editId="78D8C27D">
          <wp:simplePos x="0" y="0"/>
          <wp:positionH relativeFrom="margin">
            <wp:posOffset>584200</wp:posOffset>
          </wp:positionH>
          <wp:positionV relativeFrom="margin">
            <wp:posOffset>-1280795</wp:posOffset>
          </wp:positionV>
          <wp:extent cx="7560310" cy="1247775"/>
          <wp:effectExtent l="0" t="0" r="2540" b="9525"/>
          <wp:wrapNone/>
          <wp:docPr id="10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A20F1"/>
    <w:multiLevelType w:val="hybridMultilevel"/>
    <w:tmpl w:val="DDEC521A"/>
    <w:lvl w:ilvl="0" w:tplc="45A05EF2">
      <w:start w:val="1"/>
      <w:numFmt w:val="bullet"/>
      <w:pStyle w:val="Odrka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2514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0550D"/>
    <w:rsid w:val="00122883"/>
    <w:rsid w:val="001E0107"/>
    <w:rsid w:val="00363F1B"/>
    <w:rsid w:val="00372F1F"/>
    <w:rsid w:val="003F6304"/>
    <w:rsid w:val="00424FC4"/>
    <w:rsid w:val="00427AA2"/>
    <w:rsid w:val="00482E74"/>
    <w:rsid w:val="004A7B38"/>
    <w:rsid w:val="004D2BDC"/>
    <w:rsid w:val="00550E57"/>
    <w:rsid w:val="00567915"/>
    <w:rsid w:val="005C47CD"/>
    <w:rsid w:val="00743F76"/>
    <w:rsid w:val="00784DF7"/>
    <w:rsid w:val="007A74F2"/>
    <w:rsid w:val="00806EF3"/>
    <w:rsid w:val="009868D8"/>
    <w:rsid w:val="009F1156"/>
    <w:rsid w:val="00EA4441"/>
    <w:rsid w:val="00EF4999"/>
    <w:rsid w:val="00FC381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EEEFC4"/>
  <w15:docId w15:val="{825ADDC9-336A-494E-B73C-56043986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2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4D2B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4D2BDC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customStyle="1" w:styleId="Odrka">
    <w:name w:val="Odrážka"/>
    <w:basedOn w:val="Normln"/>
    <w:rsid w:val="004D2BDC"/>
    <w:pPr>
      <w:numPr>
        <w:numId w:val="1"/>
      </w:numPr>
      <w:tabs>
        <w:tab w:val="left" w:pos="170"/>
      </w:tabs>
      <w:spacing w:line="360" w:lineRule="auto"/>
      <w:jc w:val="both"/>
    </w:pPr>
  </w:style>
  <w:style w:type="paragraph" w:customStyle="1" w:styleId="Normlnodsazen">
    <w:name w:val="Normální_odsazený"/>
    <w:basedOn w:val="Normln"/>
    <w:rsid w:val="004D2BDC"/>
    <w:pPr>
      <w:spacing w:line="360" w:lineRule="auto"/>
      <w:ind w:left="227"/>
      <w:jc w:val="both"/>
    </w:pPr>
  </w:style>
  <w:style w:type="character" w:styleId="Hypertextovodkaz">
    <w:name w:val="Hyperlink"/>
    <w:basedOn w:val="Standardnpsmoodstavce"/>
    <w:uiPriority w:val="99"/>
    <w:unhideWhenUsed/>
    <w:rsid w:val="00363F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fs01-cra/CRA/ORP/ORP_DOT/obecne%20dokumenty/Smernice%20o%20poskytovani%20dotaci_2020/Prilohy%20metodiky_dotace/&#382;&#225;dost%20a%20jej&#237;%20p&#345;&#237;lohy/www.indikit.ne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A0155E-59EF-4B63-B9B3-35C7286D02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4E647F-0EFF-4604-8CC4-4E2B49F549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CB25F1-7242-4F18-91C5-0879015C73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DD331A-E5A0-41F1-A702-EE0DF4BBB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657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Gabriela Jičínská</cp:lastModifiedBy>
  <cp:revision>6</cp:revision>
  <dcterms:created xsi:type="dcterms:W3CDTF">2020-11-04T17:35:00Z</dcterms:created>
  <dcterms:modified xsi:type="dcterms:W3CDTF">2022-10-17T15:08:00Z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