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F3165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F3165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696BFB83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</w:t>
      </w:r>
      <w:r w:rsidR="00CA4F70">
        <w:rPr>
          <w:rStyle w:val="Nadpis2-slovanChar"/>
          <w:b w:val="0"/>
          <w:i/>
          <w:iCs/>
          <w:sz w:val="22"/>
          <w:szCs w:val="22"/>
        </w:rPr>
        <w:t xml:space="preserve"> a</w:t>
      </w:r>
      <w:r w:rsidRPr="00601597">
        <w:rPr>
          <w:rStyle w:val="Nadpis2-slovanChar"/>
          <w:b w:val="0"/>
          <w:i/>
          <w:iCs/>
          <w:sz w:val="22"/>
          <w:szCs w:val="22"/>
        </w:rPr>
        <w:t xml:space="preserve"> jejich kvalita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44971460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B13A0B">
        <w:rPr>
          <w:rFonts w:ascii="Georgia" w:eastAsia="Georgia" w:hAnsi="Georgia" w:cs="Georgia"/>
          <w:i/>
          <w:iCs/>
          <w:color w:val="000000" w:themeColor="text1"/>
          <w:sz w:val="22"/>
          <w:szCs w:val="22"/>
          <w:highlight w:val="yellow"/>
        </w:rPr>
        <w:t>bilaterální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</w:t>
      </w:r>
      <w:r w:rsidRPr="00B13A0B">
        <w:rPr>
          <w:rFonts w:ascii="Georgia" w:eastAsia="Georgia" w:hAnsi="Georgia" w:cs="Georgia"/>
          <w:i/>
          <w:iCs/>
          <w:color w:val="000000" w:themeColor="text1"/>
          <w:sz w:val="22"/>
          <w:szCs w:val="22"/>
          <w:highlight w:val="yellow"/>
        </w:rPr>
        <w:t>spolupráce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7F74B8">
        <w:rPr>
          <w:rFonts w:ascii="Georgia" w:hAnsi="Georgia"/>
          <w:i/>
          <w:iCs/>
          <w:sz w:val="22"/>
          <w:szCs w:val="22"/>
        </w:rPr>
        <w:t>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297FEF37" w14:textId="77777777" w:rsidR="00E708C8" w:rsidRDefault="00E708C8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670E4528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65DB4892" w14:textId="77777777" w:rsidR="00E708C8" w:rsidRPr="00E406DC" w:rsidRDefault="00E708C8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7DF631F1" w14:textId="77777777" w:rsidR="00A30062" w:rsidRPr="00EE5D2C" w:rsidRDefault="00A30062" w:rsidP="00E708C8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</w:t>
      </w:r>
      <w:r>
        <w:rPr>
          <w:rFonts w:ascii="Georgia" w:hAnsi="Georgia"/>
          <w:i/>
          <w:sz w:val="22"/>
        </w:rPr>
        <w:lastRenderedPageBreak/>
        <w:t>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3BF191CB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r w:rsidR="00E708C8">
        <w:rPr>
          <w:sz w:val="24"/>
          <w:szCs w:val="24"/>
        </w:rPr>
        <w:t>výchozí stav (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  <w:r w:rsidR="00E708C8">
        <w:rPr>
          <w:sz w:val="24"/>
          <w:szCs w:val="24"/>
        </w:rPr>
        <w:t>)</w:t>
      </w:r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5B3CD4BD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</w:t>
      </w:r>
      <w:r w:rsidRPr="007D02D1">
        <w:rPr>
          <w:rFonts w:ascii="Georgia" w:hAnsi="Georgia" w:cs="TimesNewRomanPSMT"/>
          <w:i/>
          <w:iCs/>
          <w:sz w:val="22"/>
        </w:rPr>
        <w:t>II Tabulka výstupů</w:t>
      </w:r>
      <w:r w:rsidR="009C0D6D">
        <w:rPr>
          <w:rFonts w:ascii="Georgia" w:hAnsi="Georgia" w:cs="TimesNewRomanPSMT"/>
          <w:i/>
          <w:iCs/>
          <w:sz w:val="22"/>
        </w:rPr>
        <w:t xml:space="preserve"> a</w:t>
      </w:r>
      <w:r>
        <w:rPr>
          <w:rFonts w:ascii="Georgia" w:hAnsi="Georgia" w:cs="TimesNewRomanPSMT"/>
          <w:i/>
          <w:iCs/>
          <w:sz w:val="22"/>
        </w:rPr>
        <w:t xml:space="preserve"> aktivit</w:t>
      </w:r>
      <w:r w:rsidR="003B465E">
        <w:rPr>
          <w:rFonts w:ascii="Georgia" w:hAnsi="Georgia" w:cs="TimesNewRomanPSMT"/>
          <w:i/>
          <w:iCs/>
          <w:sz w:val="22"/>
        </w:rPr>
        <w:t xml:space="preserve">, u víceletých projektů </w:t>
      </w:r>
      <w:r w:rsidR="003B465E" w:rsidRPr="00D85D2B">
        <w:rPr>
          <w:rFonts w:ascii="Georgia" w:hAnsi="Georgia" w:cs="TimesNewRomanPSMT"/>
          <w:i/>
          <w:iCs/>
          <w:sz w:val="22"/>
        </w:rPr>
        <w:t>s přílohou IV Matice logického rámce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47BA4481" w:rsidR="00A30062" w:rsidRPr="008626C9" w:rsidRDefault="003B465E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>
        <w:rPr>
          <w:rFonts w:ascii="Georgia" w:hAnsi="Georgia" w:cs="TimesNewRomanPSMT"/>
          <w:i/>
          <w:iCs/>
          <w:sz w:val="22"/>
          <w:szCs w:val="22"/>
        </w:rPr>
        <w:t>K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200BE590" w:rsidR="00B13A0B" w:rsidRDefault="00B13A0B">
      <w:pPr>
        <w:suppressAutoHyphens w:val="0"/>
        <w:rPr>
          <w:rFonts w:ascii="Georgia" w:hAnsi="Georgia" w:cs="TimesNewRomanPSMT"/>
          <w:i/>
          <w:sz w:val="22"/>
        </w:rPr>
      </w:pPr>
      <w:r>
        <w:rPr>
          <w:rFonts w:ascii="Georgia" w:hAnsi="Georgia" w:cs="TimesNewRomanPSMT"/>
          <w:i/>
          <w:sz w:val="22"/>
        </w:rPr>
        <w:br w:type="page"/>
      </w: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6872F0F1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lastRenderedPageBreak/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09F469B9" w14:textId="43570439" w:rsidR="00B13A0B" w:rsidRDefault="00B13A0B">
      <w:pPr>
        <w:suppressAutoHyphens w:val="0"/>
        <w:rPr>
          <w:rFonts w:ascii="Georgia" w:hAnsi="Georgia"/>
          <w:color w:val="FF0000"/>
          <w:sz w:val="22"/>
        </w:rPr>
      </w:pPr>
      <w:r>
        <w:rPr>
          <w:rFonts w:ascii="Georgia" w:hAnsi="Georgia"/>
          <w:color w:val="FF0000"/>
          <w:sz w:val="22"/>
        </w:rPr>
        <w:br w:type="page"/>
      </w: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lastRenderedPageBreak/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FC3922E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</w:t>
      </w:r>
      <w:r w:rsidR="003B465E">
        <w:rPr>
          <w:rFonts w:ascii="Georgia" w:hAnsi="Georgia"/>
          <w:i/>
          <w:iCs/>
          <w:sz w:val="22"/>
        </w:rPr>
        <w:t>, mezisektorová spolupráce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058E2DFD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</w:t>
      </w:r>
      <w:r w:rsidR="003B465E">
        <w:rPr>
          <w:rFonts w:ascii="Georgia" w:hAnsi="Georgia"/>
          <w:i/>
          <w:iCs/>
          <w:sz w:val="22"/>
        </w:rPr>
        <w:t>)</w:t>
      </w:r>
      <w:r w:rsidR="008626C9">
        <w:rPr>
          <w:rFonts w:ascii="Georgia" w:hAnsi="Georgia"/>
          <w:i/>
          <w:iCs/>
          <w:sz w:val="22"/>
        </w:rPr>
        <w:t xml:space="preserve"> </w:t>
      </w: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2C39" w14:textId="77777777" w:rsidR="00341437" w:rsidRDefault="00341437">
      <w:pPr>
        <w:rPr>
          <w:rFonts w:hint="eastAsia"/>
        </w:rPr>
      </w:pPr>
      <w:r>
        <w:separator/>
      </w:r>
    </w:p>
  </w:endnote>
  <w:endnote w:type="continuationSeparator" w:id="0">
    <w:p w14:paraId="60CEB6D2" w14:textId="77777777" w:rsidR="00341437" w:rsidRDefault="003414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2688D9D2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</w:t>
    </w:r>
    <w:r w:rsidR="001F4C47">
      <w:rPr>
        <w:sz w:val="16"/>
        <w:szCs w:val="16"/>
      </w:rPr>
      <w:t>2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1A66" w14:textId="77777777" w:rsidR="00341437" w:rsidRDefault="0034143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43851A0" w14:textId="77777777" w:rsidR="00341437" w:rsidRDefault="00341437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1F4C47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65E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0D6D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13A0B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27A5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A4F70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8C8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Gabriela Jičínská</cp:lastModifiedBy>
  <cp:revision>2</cp:revision>
  <cp:lastPrinted>2022-02-22T12:52:00Z</cp:lastPrinted>
  <dcterms:created xsi:type="dcterms:W3CDTF">2023-09-26T05:26:00Z</dcterms:created>
  <dcterms:modified xsi:type="dcterms:W3CDTF">2023-09-26T05:26:00Z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